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uppressAutoHyphens/>
        <w:spacing w:before="0" w:beforeAutospacing="0" w:after="0" w:afterAutospacing="0" w:line="276" w:lineRule="auto"/>
        <w:jc w:val="center"/>
        <w:rPr>
          <w:rFonts w:ascii="Times New Roman" w:hAnsi="Times New Roman" w:eastAsia="Droid Sans Fallback"/>
          <w:kern w:val="1"/>
          <w:sz w:val="28"/>
          <w:szCs w:val="28"/>
          <w:lang w:eastAsia="zh-CN" w:bidi="hi-IN"/>
        </w:rPr>
      </w:pPr>
      <w:r>
        <w:rPr>
          <w:rFonts w:ascii="Times New Roman" w:hAnsi="Times New Roman" w:eastAsia="Droid Sans Fallback"/>
          <w:kern w:val="1"/>
          <w:sz w:val="28"/>
          <w:szCs w:val="28"/>
          <w:lang w:eastAsia="zh-CN" w:bidi="hi-IN"/>
        </w:rPr>
        <w:t>ГОСУДАРСТВЕННОЕ БЮДЖЕТНОЕ УЧРЕЖДЕНИЕ ДОПОЛНИТЕЛЬНОГО ОБРАЗОВАНИЯ «ЭКОЛОГО-БИОЛОГИЧЕСКИЙ ЦЕНТР» МИНИСТЕРСТВА ПРОСВЕЩЕНИЯ</w:t>
      </w:r>
      <w:r>
        <w:rPr>
          <w:rFonts w:hint="default" w:ascii="Times New Roman" w:hAnsi="Times New Roman" w:eastAsia="Droid Sans Fallback"/>
          <w:kern w:val="1"/>
          <w:sz w:val="28"/>
          <w:szCs w:val="28"/>
          <w:lang w:val="ru-RU" w:eastAsia="zh-CN" w:bidi="hi-IN"/>
        </w:rPr>
        <w:t xml:space="preserve"> </w:t>
      </w:r>
      <w:r>
        <w:rPr>
          <w:rFonts w:ascii="Times New Roman" w:hAnsi="Times New Roman" w:eastAsia="Droid Sans Fallback"/>
          <w:kern w:val="1"/>
          <w:sz w:val="28"/>
          <w:szCs w:val="28"/>
          <w:lang w:eastAsia="zh-CN" w:bidi="hi-IN"/>
        </w:rPr>
        <w:t>И НАУКИ</w:t>
      </w:r>
    </w:p>
    <w:p>
      <w:pPr>
        <w:suppressAutoHyphens/>
        <w:spacing w:before="0" w:beforeAutospacing="0" w:after="0" w:afterAutospacing="0" w:line="276" w:lineRule="auto"/>
        <w:jc w:val="center"/>
        <w:rPr>
          <w:rFonts w:ascii="Times New Roman" w:hAnsi="Times New Roman" w:eastAsia="Droid Sans Fallback"/>
          <w:kern w:val="1"/>
          <w:sz w:val="28"/>
          <w:szCs w:val="28"/>
          <w:lang w:eastAsia="zh-CN" w:bidi="hi-IN"/>
        </w:rPr>
      </w:pPr>
      <w:r>
        <w:rPr>
          <w:rFonts w:ascii="Times New Roman" w:hAnsi="Times New Roman" w:eastAsia="Droid Sans Fallback"/>
          <w:kern w:val="1"/>
          <w:sz w:val="28"/>
          <w:szCs w:val="28"/>
          <w:lang w:eastAsia="zh-CN" w:bidi="hi-IN"/>
        </w:rPr>
        <w:t>КАБАРДИНО-БАЛКАРСКОЙ РЕСПУБЛИКИ</w:t>
      </w:r>
    </w:p>
    <w:p>
      <w:pPr>
        <w:suppressAutoHyphens/>
        <w:spacing w:before="0" w:beforeAutospacing="0" w:after="0" w:afterAutospacing="0" w:line="276" w:lineRule="auto"/>
        <w:jc w:val="center"/>
        <w:rPr>
          <w:rFonts w:ascii="Times New Roman" w:hAnsi="Times New Roman" w:eastAsia="Droid Sans Fallback"/>
          <w:kern w:val="1"/>
          <w:sz w:val="28"/>
          <w:szCs w:val="28"/>
          <w:lang w:eastAsia="zh-CN" w:bidi="hi-IN"/>
        </w:rPr>
      </w:pPr>
    </w:p>
    <w:p>
      <w:pPr>
        <w:suppressAutoHyphens/>
        <w:spacing w:before="0" w:beforeAutospacing="0" w:after="0" w:afterAutospacing="0" w:line="276" w:lineRule="auto"/>
        <w:jc w:val="center"/>
        <w:rPr>
          <w:rFonts w:ascii="Times New Roman" w:hAnsi="Times New Roman" w:eastAsia="Droid Sans Fallback"/>
          <w:kern w:val="1"/>
          <w:sz w:val="28"/>
          <w:szCs w:val="28"/>
          <w:lang w:eastAsia="zh-CN" w:bidi="hi-IN"/>
        </w:rPr>
      </w:pPr>
      <w:r>
        <w:rPr>
          <w:rFonts w:ascii="Times New Roman" w:hAnsi="Times New Roman" w:eastAsia="Droid Sans Fallback"/>
          <w:kern w:val="1"/>
          <w:sz w:val="28"/>
          <w:szCs w:val="28"/>
          <w:lang w:eastAsia="zh-CN" w:bidi="hi-IN"/>
        </w:rPr>
        <w:t>КАБАРДИНО-БАЛКАРСКАЯ РЕСПУБЛИКА, г.о. НАЛЬЧИК</w:t>
      </w:r>
    </w:p>
    <w:p>
      <w:pPr>
        <w:spacing w:before="0" w:beforeAutospacing="0" w:after="0" w:afterAutospacing="0" w:line="276" w:lineRule="auto"/>
        <w:rPr>
          <w:rFonts w:ascii="Times New Roman" w:hAnsi="Times New Roman"/>
          <w:sz w:val="28"/>
          <w:szCs w:val="28"/>
        </w:rPr>
      </w:pPr>
    </w:p>
    <w:p>
      <w:pPr>
        <w:spacing w:before="0" w:beforeAutospacing="0" w:after="0" w:afterAutospacing="0" w:line="276" w:lineRule="auto"/>
        <w:rPr>
          <w:rFonts w:ascii="Times New Roman" w:hAnsi="Times New Roman"/>
          <w:sz w:val="28"/>
          <w:szCs w:val="28"/>
        </w:rPr>
      </w:pPr>
    </w:p>
    <w:p>
      <w:pPr>
        <w:spacing w:before="0" w:beforeAutospacing="0" w:after="0" w:afterAutospacing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Объединение «</w:t>
      </w:r>
      <w:r>
        <w:rPr>
          <w:rFonts w:hint="default" w:ascii="Times New Roman" w:hAnsi="Times New Roman"/>
          <w:sz w:val="28"/>
          <w:szCs w:val="28"/>
        </w:rPr>
        <w:t>Палеоархивные находки в пойме реки Нальчик</w:t>
      </w:r>
      <w:r>
        <w:rPr>
          <w:rFonts w:ascii="Times New Roman" w:hAnsi="Times New Roman"/>
          <w:sz w:val="28"/>
          <w:szCs w:val="28"/>
        </w:rPr>
        <w:t>»</w:t>
      </w:r>
    </w:p>
    <w:p>
      <w:pPr>
        <w:spacing w:before="0" w:beforeAutospacing="0" w:after="0" w:afterAutospacing="0" w:line="276" w:lineRule="auto"/>
        <w:rPr>
          <w:rFonts w:ascii="Times New Roman" w:hAnsi="Times New Roman"/>
          <w:sz w:val="28"/>
          <w:szCs w:val="28"/>
        </w:rPr>
      </w:pPr>
    </w:p>
    <w:p>
      <w:pPr>
        <w:spacing w:before="0" w:beforeAutospacing="0" w:after="0" w:afterAutospacing="0" w:line="276" w:lineRule="auto"/>
        <w:rPr>
          <w:rFonts w:ascii="Times New Roman" w:hAnsi="Times New Roman"/>
          <w:sz w:val="28"/>
          <w:szCs w:val="28"/>
        </w:rPr>
      </w:pPr>
    </w:p>
    <w:p>
      <w:pPr>
        <w:spacing w:before="0" w:beforeAutospacing="0" w:after="0" w:afterAutospacing="0" w:line="276" w:lineRule="auto"/>
        <w:rPr>
          <w:rFonts w:ascii="Times New Roman" w:hAnsi="Times New Roman"/>
          <w:sz w:val="28"/>
          <w:szCs w:val="28"/>
        </w:rPr>
      </w:pPr>
    </w:p>
    <w:p>
      <w:pPr>
        <w:spacing w:before="0" w:beforeAutospacing="0" w:after="0" w:afterAutospacing="0" w:line="276" w:lineRule="auto"/>
        <w:rPr>
          <w:rFonts w:ascii="Times New Roman" w:hAnsi="Times New Roman"/>
          <w:sz w:val="28"/>
          <w:szCs w:val="28"/>
        </w:rPr>
      </w:pPr>
    </w:p>
    <w:p>
      <w:pPr>
        <w:spacing w:before="0" w:beforeAutospacing="0" w:after="0" w:afterAutospacing="0" w:line="276" w:lineRule="auto"/>
        <w:rPr>
          <w:rFonts w:ascii="Times New Roman" w:hAnsi="Times New Roman"/>
          <w:sz w:val="28"/>
          <w:szCs w:val="28"/>
        </w:rPr>
      </w:pPr>
    </w:p>
    <w:p>
      <w:pPr>
        <w:spacing w:before="0" w:beforeAutospacing="0" w:after="0" w:afterAutospacing="0" w:line="276" w:lineRule="auto"/>
        <w:rPr>
          <w:rFonts w:ascii="Times New Roman" w:hAnsi="Times New Roman"/>
          <w:sz w:val="28"/>
          <w:szCs w:val="28"/>
        </w:rPr>
      </w:pPr>
    </w:p>
    <w:p>
      <w:pPr>
        <w:spacing w:before="0" w:beforeAutospacing="0" w:after="0" w:afterAutospacing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  <w:r>
        <w:rPr>
          <w:rFonts w:hint="default" w:ascii="Times New Roman" w:hAnsi="Times New Roman"/>
          <w:b/>
          <w:bCs/>
          <w:color w:val="000000"/>
          <w:spacing w:val="-2"/>
          <w:sz w:val="28"/>
          <w:szCs w:val="28"/>
        </w:rPr>
        <w:t>ПАЛЕОАРХИВНЫЕ НАХОДКИ В ПОЙМЕ РЕКИ НАЛЬЧИК</w:t>
      </w:r>
    </w:p>
    <w:p>
      <w:pPr>
        <w:spacing w:before="0" w:beforeAutospacing="0" w:after="0" w:afterAutospacing="0" w:line="276" w:lineRule="auto"/>
        <w:rPr>
          <w:rFonts w:ascii="Times New Roman" w:hAnsi="Times New Roman"/>
          <w:sz w:val="28"/>
          <w:szCs w:val="28"/>
        </w:rPr>
      </w:pPr>
    </w:p>
    <w:p>
      <w:pPr>
        <w:spacing w:before="0" w:beforeAutospacing="0" w:after="0" w:afterAutospacing="0" w:line="276" w:lineRule="auto"/>
        <w:rPr>
          <w:rFonts w:ascii="Times New Roman" w:hAnsi="Times New Roman"/>
          <w:sz w:val="28"/>
          <w:szCs w:val="28"/>
        </w:rPr>
      </w:pPr>
    </w:p>
    <w:p>
      <w:pPr>
        <w:spacing w:before="0" w:beforeAutospacing="0" w:after="0" w:afterAutospacing="0"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</w:t>
      </w:r>
    </w:p>
    <w:p>
      <w:pPr>
        <w:spacing w:before="0" w:beforeAutospacing="0" w:after="0" w:afterAutospacing="0"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Шорохов Владимир Валерьевич, </w:t>
      </w:r>
      <w:r>
        <w:rPr>
          <w:rFonts w:hint="default" w:ascii="Times New Roman" w:hAnsi="Times New Roman"/>
          <w:sz w:val="28"/>
          <w:szCs w:val="28"/>
          <w:lang w:val="ru-RU"/>
        </w:rPr>
        <w:t>10</w:t>
      </w:r>
      <w:r>
        <w:rPr>
          <w:rFonts w:ascii="Times New Roman" w:hAnsi="Times New Roman"/>
          <w:sz w:val="28"/>
          <w:szCs w:val="28"/>
        </w:rPr>
        <w:t xml:space="preserve"> класс</w:t>
      </w:r>
    </w:p>
    <w:p>
      <w:pPr>
        <w:spacing w:before="0" w:beforeAutospacing="0" w:after="0" w:afterAutospacing="0" w:line="276" w:lineRule="auto"/>
        <w:ind w:left="142"/>
        <w:rPr>
          <w:rFonts w:ascii="Times New Roman" w:hAnsi="Times New Roman"/>
          <w:sz w:val="28"/>
          <w:szCs w:val="28"/>
        </w:rPr>
      </w:pPr>
    </w:p>
    <w:p>
      <w:pPr>
        <w:spacing w:before="0" w:beforeAutospacing="0" w:after="0" w:afterAutospacing="0"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</w:t>
      </w:r>
    </w:p>
    <w:p>
      <w:pPr>
        <w:spacing w:before="0" w:beforeAutospacing="0" w:after="0" w:afterAutospacing="0"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Берданова Елена Ивановна, педагог дополнительного образования. ГБУ ДО «ЭБЦ» Минпрсещения КБР</w:t>
      </w:r>
    </w:p>
    <w:p>
      <w:pPr>
        <w:spacing w:before="0" w:beforeAutospacing="0" w:after="0" w:afterAutospacing="0" w:line="276" w:lineRule="auto"/>
        <w:ind w:left="142"/>
        <w:rPr>
          <w:rFonts w:ascii="Times New Roman" w:hAnsi="Times New Roman"/>
          <w:sz w:val="28"/>
          <w:szCs w:val="28"/>
        </w:rPr>
      </w:pPr>
    </w:p>
    <w:p>
      <w:pPr>
        <w:spacing w:before="0" w:beforeAutospacing="0" w:after="0" w:afterAutospacing="0" w:line="276" w:lineRule="auto"/>
        <w:ind w:left="142"/>
        <w:rPr>
          <w:rFonts w:hint="default"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Консультант: </w:t>
      </w:r>
      <w:r>
        <w:rPr>
          <w:rFonts w:hint="default" w:ascii="Times New Roman" w:hAnsi="Times New Roman"/>
          <w:sz w:val="28"/>
          <w:szCs w:val="28"/>
        </w:rPr>
        <w:t>Шамарина М. А., заместитель заведующего музеем живой природы, отдела геологии НОЦ «Ботанический сад» КБГУ</w:t>
      </w:r>
    </w:p>
    <w:p>
      <w:pPr>
        <w:spacing w:before="0" w:beforeAutospacing="0" w:after="0" w:afterAutospacing="0"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 xml:space="preserve"> </w:t>
      </w:r>
    </w:p>
    <w:p>
      <w:pPr>
        <w:spacing w:before="0" w:beforeAutospacing="0" w:after="0" w:afterAutospacing="0" w:line="276" w:lineRule="auto"/>
        <w:rPr>
          <w:rFonts w:ascii="Times New Roman" w:hAnsi="Times New Roman"/>
        </w:rPr>
      </w:pPr>
    </w:p>
    <w:p>
      <w:pPr>
        <w:spacing w:before="0" w:beforeAutospacing="0" w:after="0" w:afterAutospacing="0" w:line="276" w:lineRule="auto"/>
        <w:rPr>
          <w:rFonts w:ascii="Times New Roman" w:hAnsi="Times New Roman"/>
        </w:rPr>
      </w:pPr>
    </w:p>
    <w:p>
      <w:pPr>
        <w:spacing w:before="0" w:beforeAutospacing="0" w:after="0" w:afterAutospacing="0" w:line="276" w:lineRule="auto"/>
        <w:rPr>
          <w:rFonts w:ascii="Times New Roman" w:hAnsi="Times New Roman"/>
        </w:rPr>
      </w:pPr>
    </w:p>
    <w:p>
      <w:pPr>
        <w:spacing w:before="0" w:beforeAutospacing="0" w:after="0" w:afterAutospacing="0" w:line="276" w:lineRule="auto"/>
        <w:rPr>
          <w:rFonts w:ascii="Times New Roman" w:hAnsi="Times New Roman"/>
        </w:rPr>
      </w:pPr>
    </w:p>
    <w:p>
      <w:pPr>
        <w:spacing w:before="0" w:beforeAutospacing="0" w:after="0" w:afterAutospacing="0" w:line="276" w:lineRule="auto"/>
        <w:rPr>
          <w:rFonts w:ascii="Times New Roman" w:hAnsi="Times New Roman"/>
        </w:rPr>
      </w:pPr>
    </w:p>
    <w:p>
      <w:pPr>
        <w:spacing w:before="0" w:beforeAutospacing="0" w:after="0" w:afterAutospacing="0" w:line="276" w:lineRule="auto"/>
        <w:rPr>
          <w:rFonts w:ascii="Times New Roman" w:hAnsi="Times New Roman"/>
        </w:rPr>
      </w:pPr>
    </w:p>
    <w:p>
      <w:pPr>
        <w:spacing w:before="0" w:beforeAutospacing="0" w:after="0" w:afterAutospacing="0" w:line="276" w:lineRule="auto"/>
        <w:rPr>
          <w:rFonts w:ascii="Times New Roman" w:hAnsi="Times New Roman"/>
        </w:rPr>
      </w:pPr>
    </w:p>
    <w:p>
      <w:pPr>
        <w:spacing w:before="0" w:beforeAutospacing="0" w:after="0" w:afterAutospacing="0" w:line="276" w:lineRule="auto"/>
        <w:rPr>
          <w:rFonts w:ascii="Times New Roman" w:hAnsi="Times New Roman"/>
        </w:rPr>
      </w:pPr>
    </w:p>
    <w:p>
      <w:pPr>
        <w:spacing w:before="0" w:beforeAutospacing="0" w:after="0" w:afterAutospacing="0" w:line="276" w:lineRule="auto"/>
        <w:rPr>
          <w:rFonts w:ascii="Times New Roman" w:hAnsi="Times New Roman"/>
        </w:rPr>
      </w:pPr>
    </w:p>
    <w:p>
      <w:pPr>
        <w:spacing w:before="0" w:beforeAutospacing="0" w:after="0" w:afterAutospacing="0" w:line="276" w:lineRule="auto"/>
        <w:rPr>
          <w:rFonts w:ascii="Times New Roman" w:hAnsi="Times New Roman"/>
        </w:rPr>
      </w:pPr>
    </w:p>
    <w:p>
      <w:pPr>
        <w:spacing w:before="0" w:beforeAutospacing="0"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Нальчик, 2022 г.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center"/>
        <w:textAlignment w:val="auto"/>
        <w:rPr>
          <w:rFonts w:hint="default"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/>
        </w:rPr>
        <w:br w:type="page"/>
      </w:r>
      <w:r>
        <w:rPr>
          <w:rFonts w:hint="default" w:ascii="Times New Roman" w:hAnsi="Times New Roman" w:cs="Times New Roman"/>
          <w:b/>
          <w:color w:val="000000"/>
          <w:sz w:val="28"/>
          <w:szCs w:val="28"/>
        </w:rPr>
        <w:t>СОДЕРЖАНИЕ</w:t>
      </w:r>
    </w:p>
    <w:tbl>
      <w:tblPr>
        <w:tblStyle w:val="10"/>
        <w:tblW w:w="9449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4"/>
        <w:gridCol w:w="7596"/>
        <w:gridCol w:w="629"/>
      </w:tblGrid>
      <w:t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Введение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3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Глава I</w:t>
            </w: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Краткий обзор литературы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1.1</w:t>
            </w: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Макропалеонтологические объекты исследования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1.2</w:t>
            </w: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Образование ориктоценозов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1.3</w:t>
            </w: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Руководящие формы фоссилий как индикатор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ы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 xml:space="preserve"> геологического времени Земли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420" w:firstLineChars="15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1.4</w:t>
            </w: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jc w:val="both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Плеченогие (Brachiopoda)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7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1.5</w:t>
            </w: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Основы систематики фоссилий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8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Глава II</w:t>
            </w: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Материалы и методы исследований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10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2.1</w:t>
            </w: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Предмет исследовани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 xml:space="preserve">я. 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Описание места исследования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10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2.2</w:t>
            </w: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Методы исследования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11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2.2.1</w:t>
            </w: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Отбор проб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11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2.2.2</w:t>
            </w: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  <w:t>Подготовка фоссилий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12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2.2.3</w:t>
            </w: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  <w:t>Фотографирование фоссилий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13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2.2.4</w:t>
            </w: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Инструментальные методы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13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2.2.5</w:t>
            </w: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Научная обработка собранного материала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14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Глава III</w:t>
            </w: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Результаты исследования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16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Выводы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21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Заключение: планируемы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е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 xml:space="preserve"> результат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ы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22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Благодарность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23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140" w:firstLineChars="50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</w:rPr>
              <w:t>Список использованных источников и литературы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8"/>
                <w:szCs w:val="28"/>
                <w:lang w:val="ru-RU"/>
              </w:rPr>
              <w:t>24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center"/>
        <w:textAlignment w:val="auto"/>
        <w:rPr>
          <w:rFonts w:hint="default" w:ascii="Times New Roman" w:hAnsi="Times New Roman" w:cs="Times New Roman"/>
          <w:b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center"/>
        <w:textAlignment w:val="auto"/>
        <w:rPr>
          <w:rFonts w:hint="default" w:ascii="Times New Roman" w:hAnsi="Times New Roman" w:cs="Times New Roman"/>
          <w:b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>
      <w:pPr>
        <w:rPr>
          <w:rFonts w:ascii="Times New Roman" w:hAnsi="Times New Roman" w:eastAsia="Calibri"/>
          <w:b/>
        </w:rPr>
      </w:pPr>
      <w:r>
        <w:rPr>
          <w:rFonts w:ascii="Times New Roman" w:hAnsi="Times New Roman" w:eastAsia="Calibri"/>
          <w:b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Введение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Палеонтология – это наука о жизни, существовавшей до начала голоценовой эпохи или в её начале, в прошлые геологические периоды. Она включает в себя изучение фоссилий для определения эволюции организмов и их взаимодействия с окружающей средой.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Для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чего необходимо</w:t>
      </w:r>
      <w:r>
        <w:rPr>
          <w:rFonts w:ascii="Times New Roman" w:hAnsi="Times New Roman"/>
          <w:sz w:val="28"/>
          <w:szCs w:val="28"/>
        </w:rPr>
        <w:t xml:space="preserve"> изучать остатки организмов, которых давно нет на Земле, и что это </w:t>
      </w:r>
      <w:r>
        <w:rPr>
          <w:rFonts w:ascii="Times New Roman" w:hAnsi="Times New Roman"/>
          <w:sz w:val="28"/>
          <w:szCs w:val="28"/>
          <w:lang w:val="ru-RU"/>
        </w:rPr>
        <w:t>даёт</w:t>
      </w:r>
      <w:r>
        <w:rPr>
          <w:rFonts w:ascii="Times New Roman" w:hAnsi="Times New Roman"/>
          <w:sz w:val="28"/>
          <w:szCs w:val="28"/>
        </w:rPr>
        <w:t xml:space="preserve"> людям? Палеонтология помогает ориентироваться, как говорил М.В. Ломоносов, в вечных </w:t>
      </w:r>
      <w:r>
        <w:rPr>
          <w:rFonts w:ascii="Times New Roman" w:hAnsi="Times New Roman"/>
          <w:sz w:val="28"/>
          <w:szCs w:val="28"/>
          <w:lang w:val="ru-RU"/>
        </w:rPr>
        <w:t>потёмках</w:t>
      </w:r>
      <w:r>
        <w:rPr>
          <w:rFonts w:ascii="Times New Roman" w:hAnsi="Times New Roman"/>
          <w:sz w:val="28"/>
          <w:szCs w:val="28"/>
        </w:rPr>
        <w:t xml:space="preserve"> земных недр. Тем самым заметно удешевляются поисково-разведочные работы. Кроме того, сегодня бурно развивается новая область знаний — бактериальная палеонтология. Почти все осадочные месторождения создаются при участии микроорганизмов. Это совершенно новый взгляд на генезис. происхождение скоплений не только углеводородов, но и многих других ценных полезных ископаемых, в частности, железа, урана, золота, фосфоритов [</w:t>
      </w:r>
      <w:r>
        <w:rPr>
          <w:rFonts w:hint="default"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</w:rPr>
        <w:t>].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Палеонтологические находки – это ценная научная информация, позволяющая определить не только виды древних животных, но и реконструировать ландшафты, климат, гидрологию, геоморфологию всего района исследования, определить время образования отложений и ряд других факторов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[</w:t>
      </w:r>
      <w:r>
        <w:rPr>
          <w:rFonts w:hint="default"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</w:rPr>
        <w:t>]. Большое значение палеонтологии для науки и практики и уникальный характер многих находок диктуют необходимость крайне бережного отношения к палеонтологическим документам.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перефразировать Антуана де Сент Экзюпери, то каждый дворник метёт свой участок планеты, поэтому целью данного исследования является выявление видового состава фоссилий в пойме реки Нальчик.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изучение геологического строения поймы р. Нальчик;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изучение морфологии, систематики, качественного состава фоссилий;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изучение экологии различных групп организмов в целях выяснения образа жизни и условий их обитания, а также закономерностей распределения остатков организмов в геологическом прошлом для обоснования биогеографического районирования исследуемой территории;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сопоставление палеонтологических данных с геологической историей;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определение химического состава фоссилий; сравнительный анализ фоссилий с подобными палеонтологическими находками Хазнидонского ущелья.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 исследования: приток реки Нальчик – Белая речка.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Палеонтологическими объектами исследования являются ископаемые окаменелости (по-латыни fossilia). Планируемый результат – поэтапное решение задач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Новизна исследования: сравнительный анализ фоссилий поймы р. Нальчик с подобными Хазнидонского ущелья.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Методы: </w:t>
      </w:r>
      <w:r>
        <w:rPr>
          <w:rFonts w:ascii="Times New Roman" w:hAnsi="Times New Roman"/>
          <w:sz w:val="28"/>
          <w:szCs w:val="28"/>
          <w:lang w:val="ru-RU"/>
        </w:rPr>
        <w:t>с</w:t>
      </w:r>
      <w:r>
        <w:rPr>
          <w:rFonts w:ascii="Times New Roman" w:hAnsi="Times New Roman"/>
          <w:sz w:val="28"/>
          <w:szCs w:val="28"/>
        </w:rPr>
        <w:t>бор в маршрутах палеонтологического материала</w:t>
      </w:r>
      <w:r>
        <w:rPr>
          <w:rFonts w:hint="default" w:ascii="Times New Roman" w:hAnsi="Times New Roman"/>
          <w:sz w:val="28"/>
          <w:szCs w:val="28"/>
          <w:lang w:val="ru-RU"/>
        </w:rPr>
        <w:t>; и</w:t>
      </w:r>
      <w:r>
        <w:rPr>
          <w:rFonts w:ascii="Times New Roman" w:hAnsi="Times New Roman"/>
          <w:sz w:val="28"/>
          <w:szCs w:val="28"/>
        </w:rPr>
        <w:t>звлечение макрофоссилий из пород непосредственно в полевых условиях</w:t>
      </w:r>
      <w:r>
        <w:rPr>
          <w:rFonts w:hint="default" w:ascii="Times New Roman" w:hAnsi="Times New Roman"/>
          <w:sz w:val="28"/>
          <w:szCs w:val="28"/>
          <w:lang w:val="ru-RU"/>
        </w:rPr>
        <w:t>; п</w:t>
      </w:r>
      <w:r>
        <w:rPr>
          <w:rFonts w:ascii="Times New Roman" w:hAnsi="Times New Roman"/>
          <w:sz w:val="28"/>
          <w:szCs w:val="28"/>
        </w:rPr>
        <w:t>ростое механическое препарирование макрофоссилий в лабораторных условиях</w:t>
      </w:r>
      <w:r>
        <w:rPr>
          <w:rFonts w:hint="default" w:ascii="Times New Roman" w:hAnsi="Times New Roman"/>
          <w:sz w:val="28"/>
          <w:szCs w:val="28"/>
          <w:lang w:val="ru-RU"/>
        </w:rPr>
        <w:t>; м</w:t>
      </w:r>
      <w:r>
        <w:rPr>
          <w:rFonts w:ascii="Times New Roman" w:hAnsi="Times New Roman"/>
          <w:sz w:val="28"/>
          <w:szCs w:val="28"/>
        </w:rPr>
        <w:t>икроскопирование</w:t>
      </w:r>
      <w:r>
        <w:rPr>
          <w:rFonts w:hint="default" w:ascii="Times New Roman" w:hAnsi="Times New Roman"/>
          <w:sz w:val="28"/>
          <w:szCs w:val="28"/>
          <w:lang w:val="ru-RU"/>
        </w:rPr>
        <w:t>; р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ентгеновская спектроскопия; с</w:t>
      </w:r>
      <w:r>
        <w:rPr>
          <w:rFonts w:ascii="Times New Roman" w:hAnsi="Times New Roman"/>
          <w:sz w:val="28"/>
          <w:szCs w:val="28"/>
        </w:rPr>
        <w:t>равнительно-морфологический метод</w:t>
      </w:r>
      <w:r>
        <w:rPr>
          <w:rFonts w:hint="default" w:ascii="Times New Roman" w:hAnsi="Times New Roman"/>
          <w:sz w:val="28"/>
          <w:szCs w:val="28"/>
          <w:lang w:val="ru-RU"/>
        </w:rPr>
        <w:t>, и</w:t>
      </w:r>
      <w:r>
        <w:rPr>
          <w:rFonts w:ascii="Times New Roman" w:hAnsi="Times New Roman"/>
          <w:sz w:val="28"/>
          <w:szCs w:val="28"/>
        </w:rPr>
        <w:t>спользование атласов-определителей, монографий</w:t>
      </w:r>
      <w:r>
        <w:rPr>
          <w:rFonts w:hint="default" w:ascii="Times New Roman" w:hAnsi="Times New Roman"/>
          <w:sz w:val="28"/>
          <w:szCs w:val="28"/>
          <w:lang w:val="ru-RU"/>
        </w:rPr>
        <w:t>; ф</w:t>
      </w:r>
      <w:r>
        <w:rPr>
          <w:rFonts w:ascii="Times New Roman" w:hAnsi="Times New Roman"/>
          <w:sz w:val="28"/>
          <w:szCs w:val="28"/>
          <w:lang w:val="ru-RU"/>
        </w:rPr>
        <w:t>отосъёмка</w:t>
      </w:r>
      <w:r>
        <w:rPr>
          <w:rFonts w:ascii="Times New Roman" w:hAnsi="Times New Roman"/>
          <w:sz w:val="28"/>
          <w:szCs w:val="28"/>
        </w:rPr>
        <w:t>.</w:t>
      </w:r>
    </w:p>
    <w:p>
      <w:pPr>
        <w:spacing w:before="0" w:beforeAutospacing="0" w:after="160" w:afterAutospacing="0"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center"/>
        <w:textAlignment w:val="auto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Глава I КРАТКИЙ ОБЗОР ЛИТЕРАТУРЫ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textAlignment w:val="auto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1.1 Макропалеонтологические объекты исследования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Любые, остатки организмов или следы их жизнедеятельности называются окаменелостями, или фоссилиями. Фоссилии встречаются преимущественно в осадочных породах водного происхождения морских, лагунных, пресноводных – </w:t>
      </w:r>
      <w:r>
        <w:rPr>
          <w:rFonts w:ascii="Times New Roman" w:hAnsi="Times New Roman" w:eastAsia="Calibri"/>
          <w:sz w:val="28"/>
          <w:szCs w:val="28"/>
          <w:lang w:val="ru-RU"/>
        </w:rPr>
        <w:t>озёрных</w:t>
      </w:r>
      <w:r>
        <w:rPr>
          <w:rFonts w:ascii="Times New Roman" w:hAnsi="Times New Roman" w:eastAsia="Calibri"/>
          <w:sz w:val="28"/>
          <w:szCs w:val="28"/>
        </w:rPr>
        <w:t xml:space="preserve"> или речных. Реже они могут быть встречены в метаморфических породах осадочного происхождения и в различных осадочно-вулканогенных породах (вулканических туфах). Фоссилии распределены в осадочных породах крайне неравномерно: местами они образуют большие скопления, но часто на значительных участках отсутствуют. Очень немногие организмы сохраняются на тех местах, где они обитали.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Остатки организмов сохраняются в осадочных породах только при благоприятных условиях захоронения, при наличии прочного минерального или органического скелета. Очень редко сохраняются мягкие ткани и органы: или при быстрой их минерализации сразу же после гибели организма, или в форме отпечатков. В настоящее время на Земле существует свыше 1 млн. видов животных и растений, часто представленных огромным числом индивидуумов, но они обычно после гибели исчезают совершенно бесследно, если не попадут в благоприятные условия для их сохранения. Поэтому в ископаемом состоянии сохраняется лишь незначительная часть от большого числа ранее существовавших организмов. И хотя палеонтологическая летопись неполна и несовершенна, она служит единственным источником наших знаний о событиях, происходивших на Земле в течение многих миллионов лет, а ископаемые остатки являются своеобразным архивом, в котором хранятся молчаливые свидетели прошлой жизни [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>3</w:t>
      </w:r>
      <w:r>
        <w:rPr>
          <w:rFonts w:ascii="Times New Roman" w:hAnsi="Times New Roman" w:eastAsia="Calibri"/>
          <w:sz w:val="28"/>
          <w:szCs w:val="28"/>
        </w:rPr>
        <w:t>].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1.2 Образование ориктоценозов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ab/>
      </w:r>
      <w:r>
        <w:rPr>
          <w:rFonts w:ascii="Times New Roman" w:hAnsi="Times New Roman" w:eastAsia="Calibri"/>
          <w:sz w:val="28"/>
          <w:szCs w:val="28"/>
        </w:rPr>
        <w:t xml:space="preserve">Характер перехода остатков животных из биосферы в литосферу и сохранение их в осадочных породах представляет собой очень сложный и недостаточно изученный процесс (рис.1). </w:t>
      </w:r>
    </w:p>
    <w:tbl>
      <w:tblPr>
        <w:tblStyle w:val="9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735"/>
        <w:gridCol w:w="4650"/>
      </w:tblGrid>
      <w:tr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widowControl/>
              <w:suppressLineNumbers w:val="0"/>
              <w:ind w:left="0" w:right="0"/>
              <w:jc w:val="center"/>
              <w:rPr>
                <w:rFonts w:ascii="Times New Roman" w:hAnsi="Times New Roman" w:eastAsia="Calibri"/>
              </w:rPr>
            </w:pPr>
            <w:r>
              <w:drawing>
                <wp:inline distT="0" distB="0" distL="0" distR="0">
                  <wp:extent cx="2294890" cy="1245870"/>
                  <wp:effectExtent l="0" t="0" r="0" b="0"/>
                  <wp:docPr id="1" name="Рисунок 1" descr="C:\Users\User\AppData\Local\Temp\ksohtml44424\wp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AppData\Local\Temp\ksohtml44424\wp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90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widowControl/>
              <w:suppressLineNumbers w:val="0"/>
              <w:ind w:left="0" w:right="0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Рисунок 1. От биоценоза к ориктоценозу (Михайлова, Бондаренко, 1997)</w:t>
            </w:r>
          </w:p>
          <w:p>
            <w:pPr>
              <w:keepNext w:val="0"/>
              <w:keepLines w:val="0"/>
              <w:widowControl/>
              <w:suppressLineNumbers w:val="0"/>
              <w:ind w:left="0" w:right="0"/>
              <w:jc w:val="both"/>
              <w:rPr>
                <w:rFonts w:ascii="Times New Roman" w:hAnsi="Times New Roman" w:eastAsia="Calibri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Выделяются три основных этапа перехода: 1) накопление органических остатков, 2) захоронение, 3) фосилизация.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Все органические остатки, встреченные в ископаемом состоянии в одном месте, в одном слое, образуют ориктоценоз (гр. oryktos - ископаемое), или ископаемый комплекс остатков растений и животных. Изучение ориктоценозов позволяет восстанавливать палеобиогеоценозы прошлого. Задача эта крайне трудная и сложная. Фауна - это исторически сложившийся комплекс животных, </w:t>
      </w:r>
      <w:r>
        <w:rPr>
          <w:rFonts w:ascii="Times New Roman" w:hAnsi="Times New Roman" w:eastAsia="Calibri"/>
          <w:sz w:val="28"/>
          <w:szCs w:val="28"/>
          <w:lang w:val="ru-RU"/>
        </w:rPr>
        <w:t>объединённых</w:t>
      </w:r>
      <w:r>
        <w:rPr>
          <w:rFonts w:ascii="Times New Roman" w:hAnsi="Times New Roman" w:eastAsia="Calibri"/>
          <w:sz w:val="28"/>
          <w:szCs w:val="28"/>
        </w:rPr>
        <w:t xml:space="preserve"> общностью области распространения, иначе говоря, комплекс животных, характерный для изучаемого отрезка времени, для региона, биогеографической провинции [</w:t>
      </w:r>
      <w:r>
        <w:rPr>
          <w:rFonts w:hint="default" w:ascii="Times New Roman" w:hAnsi="Times New Roman" w:eastAsia="Calibri"/>
          <w:sz w:val="28"/>
          <w:szCs w:val="28"/>
          <w:shd w:val="clear" w:color="auto" w:fill="FFFFFF"/>
          <w:lang w:val="ru-RU"/>
        </w:rPr>
        <w:t>4</w:t>
      </w:r>
      <w:r>
        <w:rPr>
          <w:rFonts w:ascii="Times New Roman" w:hAnsi="Times New Roman" w:eastAsia="Calibri"/>
          <w:sz w:val="28"/>
          <w:szCs w:val="28"/>
        </w:rPr>
        <w:t>]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1.3 Руководящие формы фоссилий как индикатор</w:t>
      </w:r>
      <w:r>
        <w:rPr>
          <w:rFonts w:ascii="Times New Roman" w:hAnsi="Times New Roman" w:eastAsia="Calibri"/>
          <w:b/>
          <w:sz w:val="28"/>
          <w:szCs w:val="28"/>
          <w:lang w:val="ru-RU"/>
        </w:rPr>
        <w:t>ы</w:t>
      </w:r>
      <w:r>
        <w:rPr>
          <w:rFonts w:ascii="Times New Roman" w:hAnsi="Times New Roman" w:eastAsia="Calibri"/>
          <w:b/>
          <w:sz w:val="28"/>
          <w:szCs w:val="28"/>
        </w:rPr>
        <w:t xml:space="preserve"> геологического времени Земли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Подобно тому как каждая историческая эпоха узнается по оставленным ею документам и событиям, отдельные отрезки геологического времени истории Земли характеризуются типичными для них окаменелостями, или фоссилиями. При определении времени образования и при корреляции осадочных отложений фоссилий служат индикаторами возраста. Окаменелости, имеющие </w:t>
      </w:r>
      <w:r>
        <w:rPr>
          <w:rFonts w:ascii="Times New Roman" w:hAnsi="Times New Roman" w:eastAsia="Calibri"/>
          <w:sz w:val="28"/>
          <w:szCs w:val="28"/>
          <w:lang w:val="ru-RU"/>
        </w:rPr>
        <w:t>определённое</w:t>
      </w:r>
      <w:r>
        <w:rPr>
          <w:rFonts w:ascii="Times New Roman" w:hAnsi="Times New Roman" w:eastAsia="Calibri"/>
          <w:sz w:val="28"/>
          <w:szCs w:val="28"/>
        </w:rPr>
        <w:t xml:space="preserve"> вертикальное и региональное зональное распространение, именуются руководящими формами [</w:t>
      </w:r>
      <w:r>
        <w:rPr>
          <w:rFonts w:hint="default" w:ascii="Times New Roman" w:hAnsi="Times New Roman" w:eastAsia="Calibri"/>
          <w:sz w:val="28"/>
          <w:szCs w:val="28"/>
          <w:shd w:val="clear" w:color="auto" w:fill="FFFFFF"/>
          <w:lang w:val="ru-RU"/>
        </w:rPr>
        <w:t>4</w:t>
      </w:r>
      <w:r>
        <w:rPr>
          <w:rFonts w:ascii="Times New Roman" w:hAnsi="Times New Roman" w:eastAsia="Calibri"/>
          <w:sz w:val="28"/>
          <w:szCs w:val="28"/>
        </w:rPr>
        <w:t>]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Понятие «руководящие формы» введено Л. фон Бухом (1774—1853), но в широком смысле оно применялось значительно раньше англичанами М. Листером (1638—1711) и Дж. Вудвордом (1665—1728). С введением этого понятия начала развиваться стратиграфия, или наука о геологических слоях. Она связана с именем английского инженера В. Смита (1769—1839), который использовал окаменелости для корреляции пластов горных пород. Накопленный им при строительстве каналов в средней Англии опыт показал, что фоссилий залегают в разрезе не беспорядочно, а в </w:t>
      </w:r>
      <w:r>
        <w:rPr>
          <w:rFonts w:ascii="Times New Roman" w:hAnsi="Times New Roman" w:eastAsia="Calibri"/>
          <w:sz w:val="28"/>
          <w:szCs w:val="28"/>
          <w:lang w:val="ru-RU"/>
        </w:rPr>
        <w:t>определённой</w:t>
      </w:r>
      <w:r>
        <w:rPr>
          <w:rFonts w:ascii="Times New Roman" w:hAnsi="Times New Roman" w:eastAsia="Calibri"/>
          <w:sz w:val="28"/>
          <w:szCs w:val="28"/>
        </w:rPr>
        <w:t xml:space="preserve"> последовательности. Тем самым в Великобритании был </w:t>
      </w:r>
      <w:r>
        <w:rPr>
          <w:rFonts w:ascii="Times New Roman" w:hAnsi="Times New Roman" w:eastAsia="Calibri"/>
          <w:sz w:val="28"/>
          <w:szCs w:val="28"/>
          <w:lang w:val="ru-RU"/>
        </w:rPr>
        <w:t>подтверждён</w:t>
      </w:r>
      <w:r>
        <w:rPr>
          <w:rFonts w:ascii="Times New Roman" w:hAnsi="Times New Roman" w:eastAsia="Calibri"/>
          <w:sz w:val="28"/>
          <w:szCs w:val="28"/>
        </w:rPr>
        <w:t xml:space="preserve"> принцип «руководящих форм», созданы основы стратиграфической палеонтологии, а сам Смит стал основоположником биостратиграфии, позже названной также биохронологией. Уже Г. X. Фюхсель (1722—1773) установил, что отдельные виды окаменелостей встречаются в строго </w:t>
      </w:r>
      <w:r>
        <w:rPr>
          <w:rFonts w:ascii="Times New Roman" w:hAnsi="Times New Roman" w:eastAsia="Calibri"/>
          <w:sz w:val="28"/>
          <w:szCs w:val="28"/>
          <w:lang w:val="ru-RU"/>
        </w:rPr>
        <w:t>определённых</w:t>
      </w:r>
      <w:r>
        <w:rPr>
          <w:rFonts w:ascii="Times New Roman" w:hAnsi="Times New Roman" w:eastAsia="Calibri"/>
          <w:sz w:val="28"/>
          <w:szCs w:val="28"/>
        </w:rPr>
        <w:t xml:space="preserve"> слоях или разрезах. Он использовал </w:t>
      </w:r>
      <w:r>
        <w:rPr>
          <w:rFonts w:ascii="Times New Roman" w:hAnsi="Times New Roman" w:eastAsia="Calibri"/>
          <w:sz w:val="28"/>
          <w:szCs w:val="28"/>
          <w:lang w:val="ru-RU"/>
        </w:rPr>
        <w:t>своё</w:t>
      </w:r>
      <w:r>
        <w:rPr>
          <w:rFonts w:ascii="Times New Roman" w:hAnsi="Times New Roman" w:eastAsia="Calibri"/>
          <w:sz w:val="28"/>
          <w:szCs w:val="28"/>
        </w:rPr>
        <w:t xml:space="preserve"> открытие как аргумент против библейской истории творения. Со времени Нильса Стензена (Николаус Стенозиус, или Стено, 1638—1686) используется </w:t>
      </w:r>
      <w:r>
        <w:rPr>
          <w:rFonts w:ascii="Times New Roman" w:hAnsi="Times New Roman" w:eastAsia="Calibri"/>
          <w:sz w:val="28"/>
          <w:szCs w:val="28"/>
          <w:lang w:val="ru-RU"/>
        </w:rPr>
        <w:t>введённый</w:t>
      </w:r>
      <w:r>
        <w:rPr>
          <w:rFonts w:ascii="Times New Roman" w:hAnsi="Times New Roman" w:eastAsia="Calibri"/>
          <w:sz w:val="28"/>
          <w:szCs w:val="28"/>
        </w:rPr>
        <w:t xml:space="preserve"> им в стратиграфию важный принцип последовательности отложения, который гласит, что в ненарушенном залегании геологически более древние отложения залегают на больших глубинах, а более молодые слои их перекрывают. Как уже отмечалось, в слоях всегда наблюдается </w:t>
      </w:r>
      <w:r>
        <w:rPr>
          <w:rFonts w:ascii="Times New Roman" w:hAnsi="Times New Roman" w:eastAsia="Calibri"/>
          <w:sz w:val="28"/>
          <w:szCs w:val="28"/>
          <w:lang w:val="ru-RU"/>
        </w:rPr>
        <w:t>определённая</w:t>
      </w:r>
      <w:r>
        <w:rPr>
          <w:rFonts w:ascii="Times New Roman" w:hAnsi="Times New Roman" w:eastAsia="Calibri"/>
          <w:sz w:val="28"/>
          <w:szCs w:val="28"/>
        </w:rPr>
        <w:t xml:space="preserve"> закономерная последовательность залегания остатков растительных и животных организмов. На этом </w:t>
      </w:r>
      <w:r>
        <w:rPr>
          <w:rFonts w:ascii="Times New Roman" w:hAnsi="Times New Roman" w:eastAsia="Calibri"/>
          <w:sz w:val="28"/>
          <w:szCs w:val="28"/>
          <w:lang w:val="ru-RU"/>
        </w:rPr>
        <w:t>строятся</w:t>
      </w:r>
      <w:r>
        <w:rPr>
          <w:rFonts w:ascii="Times New Roman" w:hAnsi="Times New Roman" w:eastAsia="Calibri"/>
          <w:sz w:val="28"/>
          <w:szCs w:val="28"/>
        </w:rPr>
        <w:t xml:space="preserve"> основные принципы созданной в своих основных чертах трудами многочисленных </w:t>
      </w:r>
      <w:r>
        <w:rPr>
          <w:rFonts w:ascii="Times New Roman" w:hAnsi="Times New Roman" w:eastAsia="Calibri"/>
          <w:sz w:val="28"/>
          <w:szCs w:val="28"/>
          <w:lang w:val="ru-RU"/>
        </w:rPr>
        <w:t>учёных</w:t>
      </w:r>
      <w:r>
        <w:rPr>
          <w:rFonts w:ascii="Times New Roman" w:hAnsi="Times New Roman" w:eastAsia="Calibri"/>
          <w:sz w:val="28"/>
          <w:szCs w:val="28"/>
        </w:rPr>
        <w:t xml:space="preserve"> в 1820—1850 гг. шкалы геологических формаций, ныне именуемой геохронологической шкалой (табл.1) [</w:t>
      </w:r>
      <w:r>
        <w:rPr>
          <w:rFonts w:hint="default" w:ascii="Times New Roman" w:hAnsi="Times New Roman" w:eastAsia="Calibri"/>
          <w:sz w:val="28"/>
          <w:szCs w:val="28"/>
          <w:shd w:val="clear" w:color="auto" w:fill="FFFFFF"/>
          <w:lang w:val="ru-RU"/>
        </w:rPr>
        <w:t>4</w:t>
      </w:r>
      <w:r>
        <w:rPr>
          <w:rFonts w:ascii="Times New Roman" w:hAnsi="Times New Roman" w:eastAsia="Calibri"/>
          <w:sz w:val="28"/>
          <w:szCs w:val="28"/>
        </w:rPr>
        <w:t xml:space="preserve">]. </w:t>
      </w:r>
    </w:p>
    <w:p>
      <w:pPr>
        <w:spacing w:before="0" w:beforeAutospacing="0" w:after="0" w:afterAutospacing="0" w:line="276" w:lineRule="auto"/>
        <w:jc w:val="right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Таблица 1</w:t>
      </w:r>
    </w:p>
    <w:p>
      <w:pPr>
        <w:spacing w:before="0" w:beforeAutospacing="0" w:after="0" w:afterAutospacing="0" w:line="276" w:lineRule="auto"/>
        <w:jc w:val="center"/>
        <w:rPr>
          <w:rFonts w:ascii="Times New Roman" w:hAnsi="Times New Roman" w:eastAsia="Calibri"/>
        </w:rPr>
      </w:pPr>
      <w:r>
        <w:drawing>
          <wp:inline distT="0" distB="0" distL="0" distR="0">
            <wp:extent cx="4923790" cy="3027045"/>
            <wp:effectExtent l="0" t="0" r="13970" b="5715"/>
            <wp:docPr id="13" name="Рисунок 13" descr="C:\ЦЕНТР_2021-22\ПРОЕКТЫ\ПАЛЕОНТАЛОГИЯ\ОПРЕДЕЛИТЕЛИ\15535230765c98e184d51a15.2555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ЦЕНТР_2021-22\ПРОЕКТЫ\ПАЛЕОНТАЛОГИЯ\ОПРЕДЕЛИТЕЛИ\15535230765c98e184d51a15.25553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Руководящими формами, т. е. остатками организмов, выступающими в роли индикаторов возраста, могут быть только те окаменелости, которые отвечают следующим </w:t>
      </w:r>
      <w:r>
        <w:rPr>
          <w:rFonts w:ascii="Times New Roman" w:hAnsi="Times New Roman" w:eastAsia="Calibri"/>
          <w:sz w:val="28"/>
          <w:szCs w:val="28"/>
          <w:lang w:val="ru-RU"/>
        </w:rPr>
        <w:t>трём</w:t>
      </w:r>
      <w:r>
        <w:rPr>
          <w:rFonts w:ascii="Times New Roman" w:hAnsi="Times New Roman" w:eastAsia="Calibri"/>
          <w:sz w:val="28"/>
          <w:szCs w:val="28"/>
        </w:rPr>
        <w:t xml:space="preserve"> условиям: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1) Они характеризуются морфологической изменяемостью в течение короткого отрезка геологического времени, т. е. они имели малые сроки существования и соответственно небольшое вертикальное распространение.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2) Им должны быть свойственны обилие особей, </w:t>
      </w:r>
      <w:r>
        <w:rPr>
          <w:rFonts w:ascii="Times New Roman" w:hAnsi="Times New Roman" w:eastAsia="Calibri"/>
          <w:sz w:val="28"/>
          <w:szCs w:val="28"/>
          <w:lang w:val="ru-RU"/>
        </w:rPr>
        <w:t>отчётливая</w:t>
      </w:r>
      <w:r>
        <w:rPr>
          <w:rFonts w:ascii="Times New Roman" w:hAnsi="Times New Roman" w:eastAsia="Calibri"/>
          <w:sz w:val="28"/>
          <w:szCs w:val="28"/>
        </w:rPr>
        <w:t xml:space="preserve"> морфологическая индивидуальность и большая частота встречаемости.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3) Они должны иметь широкое региональное горизонтальное распространение, не зависящее от фациальных обстановок, фиксирующих в камне </w:t>
      </w:r>
      <w:r>
        <w:rPr>
          <w:rFonts w:ascii="Times New Roman" w:hAnsi="Times New Roman" w:eastAsia="Calibri"/>
          <w:sz w:val="28"/>
          <w:szCs w:val="28"/>
          <w:lang w:val="ru-RU"/>
        </w:rPr>
        <w:t>определённую</w:t>
      </w:r>
      <w:r>
        <w:rPr>
          <w:rFonts w:ascii="Times New Roman" w:hAnsi="Times New Roman" w:eastAsia="Calibri"/>
          <w:sz w:val="28"/>
          <w:szCs w:val="28"/>
        </w:rPr>
        <w:t xml:space="preserve"> среду жизни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Благодаря своей хорошей сохранности эти фоссилии играют важную роль руководящих форм и в особенности при расчленении морских отложений [</w:t>
      </w:r>
      <w:r>
        <w:rPr>
          <w:rFonts w:hint="default" w:ascii="Times New Roman" w:hAnsi="Times New Roman" w:eastAsia="Calibri"/>
          <w:sz w:val="28"/>
          <w:szCs w:val="28"/>
          <w:shd w:val="clear" w:color="auto" w:fill="FFFFFF"/>
          <w:lang w:val="ru-RU"/>
        </w:rPr>
        <w:t>4</w:t>
      </w:r>
      <w:r>
        <w:rPr>
          <w:rFonts w:ascii="Times New Roman" w:hAnsi="Times New Roman" w:eastAsia="Calibri"/>
          <w:sz w:val="28"/>
          <w:szCs w:val="28"/>
        </w:rPr>
        <w:t>].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ab/>
      </w:r>
      <w:r>
        <w:rPr>
          <w:rFonts w:ascii="Times New Roman" w:hAnsi="Times New Roman" w:eastAsia="Calibri"/>
          <w:sz w:val="28"/>
          <w:szCs w:val="28"/>
        </w:rPr>
        <w:t>В раннем палеозое (около 400 млн лет назад) господствующей группой фильтраторов в океанах были брахиоподы. К этому периоду относится около 12 тысяч их ископаемых видов. Ко времени массового пермского вымирания двустворчатые достигли большого разнообразия. Этот удар нанёс большой вред двустворчатым, однако они смогли выжить в течение последующего периода — триаса. В то же время брахиоподы потеряли 95 % их видового разнообразия. Некоторые учёные считают, что способность двустворчатых зарываться в грунт для спасения от хищников являлась ключевым фактором их успеха. Новые адаптации, появившиеся в различных семействах, позволили двустворчатым освоить новые экологические ниши. К таким приспособлениям относят способность к плаванию, хищнический образ жизни и другие.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Долго считалось, что двустворчатые моллюски гораздо лучше приспособлены к жизни в воде, чем брахиоподы, в связи с чем брахиоподы не выдержали конкуренции и занимают в последнее время лишь малые экологические ниши. Эти две группы животных описываются в учебниках как пример двух таксонов, один из которых оказался конкурентоспособнее другого и вытеснил его. Основанием для такого вывода считали факт, что двустворчатому моллюску для существования нужно меньше пищи из-за её системы открывания-закрывания раковины с энергетически эффективным лигаментом. Однако все эти доводы сейчас опровергнуты, а превосходство двустворчатых над брахиоподами объясняется, как писалось выше, более успешным прохождением первыми массового вымирания.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1.4 Плеченогие (Brachiopoda)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Плеченогие (Brachiopoda) - (лат. Brachiopoda, от др.-греч. Βραχίων — плечо, πούς — нога) — тип морских беспозвоночных животных из клады щупальцевых.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Эти морские организмы напоминают двустворчатых моллюсков раковиной из двух створок и близким размером. Однако они не имеют близкого родства с моллюсками, и их выделяют в отдельный тип. Сходство их внешнего строения обусловлено схожим образом жизни. В настоящее время брахиоподы менее распространены, чем двустворчатые.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Обе эти группы животных имеют раковину из двух створок, однако строение раковины у них коренным образом отличается. У плеченогих створки раковины располагаются на дорсальной (спинной) и вентральной (брюшной) сторонах тела (рис.2), а у двустворчатых они прикрывают левую и правую сторону тела и обычно являются зеркальными копиями друг друга. Створки у раковин плеченогих асимметричные. </w:t>
      </w:r>
    </w:p>
    <w:tbl>
      <w:tblPr>
        <w:tblStyle w:val="9"/>
        <w:tblW w:w="0" w:type="auto"/>
        <w:tblCellSpacing w:w="20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726"/>
        <w:gridCol w:w="4613"/>
      </w:tblGrid>
      <w:tr>
        <w:trPr>
          <w:tblCellSpacing w:w="20" w:type="dxa"/>
        </w:trPr>
        <w:tc>
          <w:tcPr>
            <w:tcW w:w="4666" w:type="dxa"/>
          </w:tcPr>
          <w:p>
            <w:pPr>
              <w:keepNext w:val="0"/>
              <w:keepLines w:val="0"/>
              <w:widowControl/>
              <w:suppressLineNumbers w:val="0"/>
              <w:ind w:left="0" w:right="0"/>
              <w:jc w:val="center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drawing>
                <wp:inline distT="0" distB="0" distL="0" distR="0">
                  <wp:extent cx="965200" cy="1165225"/>
                  <wp:effectExtent l="0" t="0" r="6350" b="0"/>
                  <wp:docPr id="2" name="Рисунок 2" descr="C:\Users\User\AppData\Local\Temp\ksohtml44424\wp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User\AppData\Local\Temp\ksohtml44424\wp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203" cy="117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>
            <w:pPr>
              <w:keepNext w:val="0"/>
              <w:keepLines w:val="0"/>
              <w:widowControl/>
              <w:suppressLineNumbers w:val="0"/>
              <w:ind w:left="0" w:right="0"/>
              <w:jc w:val="center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drawing>
                <wp:inline distT="0" distB="0" distL="0" distR="0">
                  <wp:extent cx="1640205" cy="1152525"/>
                  <wp:effectExtent l="0" t="0" r="0" b="9525"/>
                  <wp:docPr id="3" name="Рисунок 3" descr="C:\Users\User\AppData\Local\Temp\ksohtml44424\wps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User\AppData\Local\Temp\ksohtml44424\wps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49" cy="116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6" w:hRule="atLeast"/>
          <w:tblCellSpacing w:w="20" w:type="dxa"/>
        </w:trPr>
        <w:tc>
          <w:tcPr>
            <w:tcW w:w="4666" w:type="dxa"/>
          </w:tcPr>
          <w:p>
            <w:pPr>
              <w:keepNext w:val="0"/>
              <w:keepLines w:val="0"/>
              <w:widowControl/>
              <w:suppressLineNumbers w:val="0"/>
              <w:ind w:left="0" w:right="0"/>
              <w:jc w:val="center"/>
              <w:rPr>
                <w:rFonts w:hint="default" w:ascii="Times New Roman" w:hAnsi="Times New Roman" w:eastAsia="Calibri"/>
                <w:lang w:val="ru-RU"/>
              </w:rPr>
            </w:pPr>
            <w:r>
              <w:rPr>
                <w:rFonts w:ascii="Times New Roman" w:hAnsi="Times New Roman" w:eastAsia="Calibri"/>
                <w:lang w:val="ru-RU"/>
              </w:rPr>
              <w:t>а</w:t>
            </w:r>
          </w:p>
        </w:tc>
        <w:tc>
          <w:tcPr>
            <w:tcW w:w="4553" w:type="dxa"/>
          </w:tcPr>
          <w:p>
            <w:pPr>
              <w:keepNext w:val="0"/>
              <w:keepLines w:val="0"/>
              <w:widowControl/>
              <w:suppressLineNumbers w:val="0"/>
              <w:ind w:left="0" w:right="0"/>
              <w:jc w:val="center"/>
              <w:rPr>
                <w:rFonts w:hint="default" w:ascii="Times New Roman" w:hAnsi="Times New Roman" w:eastAsia="Calibri"/>
                <w:lang w:val="ru-RU"/>
              </w:rPr>
            </w:pPr>
            <w:r>
              <w:rPr>
                <w:rFonts w:ascii="Times New Roman" w:hAnsi="Times New Roman" w:eastAsia="Calibri"/>
                <w:lang w:val="ru-RU"/>
              </w:rPr>
              <w:t>б</w:t>
            </w:r>
          </w:p>
        </w:tc>
      </w:tr>
    </w:tbl>
    <w:p>
      <w:pPr>
        <w:spacing w:before="0" w:beforeAutospacing="0" w:after="0" w:afterAutospacing="0" w:line="276" w:lineRule="auto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Рисунок 2. Строение раковины брахиопод. </w:t>
      </w:r>
      <w:r>
        <w:rPr>
          <w:rFonts w:ascii="Times New Roman" w:hAnsi="Times New Roman" w:eastAsia="Calibri"/>
          <w:lang w:val="ru-RU"/>
        </w:rPr>
        <w:t>а</w:t>
      </w:r>
      <w:r>
        <w:rPr>
          <w:rFonts w:ascii="Times New Roman" w:hAnsi="Times New Roman" w:eastAsia="Calibri"/>
        </w:rPr>
        <w:t xml:space="preserve">) Тёмно-серым отмечена ножная створка раковины, светло-серым — плечевая, розовым — ножка. </w:t>
      </w:r>
      <w:r>
        <w:rPr>
          <w:rFonts w:ascii="Times New Roman" w:hAnsi="Times New Roman" w:eastAsia="Calibri"/>
          <w:lang w:val="ru-RU"/>
        </w:rPr>
        <w:t>б</w:t>
      </w:r>
      <w:r>
        <w:rPr>
          <w:rFonts w:ascii="Times New Roman" w:hAnsi="Times New Roman" w:eastAsia="Calibri"/>
        </w:rPr>
        <w:t>) Схематический продольный разрез через замковую брахиоподу (по А. Г. Мюллеру).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При этом брюшная створка больше, чем спинная, и обычно выпуклая; спинная бывает плоской и даже вогнутой. Задние края створок соединяются особыми выростами (замком) или мышцами. Для прикрепления к грунту плеченогим служит стебелёк, или ножка; те формы, у которых ножка отсутствует, либо зарываются в грунт, либо прирастают к субстрату брюшной створкой. Кроме этого, у плеченогих имеется специфический орган для фильтрации — лофофор, отсутствующий у двустворчатых. Наконец, раковины брахиопод могут состоять как из фосфата кальция, так и карбоната кальция, а у двустворчатых в их состав входит только карбонат кальция.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Плеченогие — небольшие одиночные животные, ведущие, как правило, сидячий образ жизни. Встречаются на морских мелководьях, часто в холодных водах. Тело со спинной и брюшной сторон покрыто двустворчатой известковой раковиной, из-за чего плеченогие внешне напоминают двустворчатых моллюсков (конвергентная эволюция). Размеры раковины обычно составляют несколько сантиметров.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Эволюция: Плеченогие известны с раннего кембрия; наибольшего расцвета достигли в девоне. В верхнедевонских отложениях Русской платформы в России найдены брахиоподы циртоспириферы [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>5</w:t>
      </w:r>
      <w:r>
        <w:rPr>
          <w:rFonts w:ascii="Times New Roman" w:hAnsi="Times New Roman" w:eastAsia="Calibri"/>
          <w:sz w:val="28"/>
          <w:szCs w:val="28"/>
        </w:rPr>
        <w:t>] (Cyrtospirifer). На рубеже раннего и позднего палеозоя часть отрядов вымерла; в каменноугольном и пермском периодах господствовали отряды продуктид (Productida) и спириферид (Spiriferida). После пермско-триасового вымирания сохранились 4 отряда, дожившие до наших дней.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Есть предположение, что медленное сокращение числа плеченогих в последние 100 млн лет — прямой результат увеличения числа двустворчатых моллюсков, которые вытеснили плеченогих из привычных мест их обитания [</w:t>
      </w:r>
      <w:r>
        <w:rPr>
          <w:rFonts w:hint="default" w:ascii="Times New Roman" w:hAnsi="Times New Roman"/>
          <w:bCs/>
          <w:sz w:val="28"/>
          <w:szCs w:val="28"/>
          <w:lang w:val="ru-RU"/>
        </w:rPr>
        <w:t>5</w:t>
      </w:r>
      <w:r>
        <w:rPr>
          <w:rFonts w:ascii="Times New Roman" w:hAnsi="Times New Roman" w:eastAsia="Calibri"/>
          <w:sz w:val="28"/>
          <w:szCs w:val="28"/>
        </w:rPr>
        <w:t>].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Плеченогие, благодаря богатству остатков и хорошей их сохранности, — ценные индексные ископаемые для установления геологического возраста содержащих их пластов и физико-географической обстановки, существовавших когда-то в данной местности.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Классификация: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Тип плеченогих традиционно делился на два класса: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Класс беззамковые (Inarticulata). Створки раковины не снабжены шарнирными выступами — зубами и скрепляются при помощи мускулов.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Класс замковые (Articulata). Створки раковины образуют «замок»; пищеварительная система без анального отверстия.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Существует 380 современных видов; ископаемых видов насчитывают до 30 000, известны с нижнего кембрия (570 млн лет) [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>6</w:t>
      </w:r>
      <w:r>
        <w:rPr>
          <w:rFonts w:ascii="Times New Roman" w:hAnsi="Times New Roman" w:eastAsia="Calibri"/>
          <w:sz w:val="28"/>
          <w:szCs w:val="28"/>
        </w:rPr>
        <w:t>] Всего в России 17 современных видов [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>7</w:t>
      </w:r>
      <w:r>
        <w:rPr>
          <w:rFonts w:ascii="Times New Roman" w:hAnsi="Times New Roman" w:eastAsia="Calibri"/>
          <w:sz w:val="28"/>
          <w:szCs w:val="28"/>
        </w:rPr>
        <w:t>].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textAlignment w:val="auto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1.5 Основы систематики фоссилий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hint="default" w:ascii="Times New Roman" w:hAnsi="Times New Roman" w:eastAsia="Calibri"/>
          <w:sz w:val="28"/>
          <w:szCs w:val="28"/>
        </w:rPr>
        <w:t>Наука об упорядочении в палеонтологии именуется таксономией (греч. Taxis— порядок, расчленение, nоmos — правило, закон). В ее основе лежит таксономическая система, предложенная шведским естествоиспытателем К. Линнеем (1707—1778).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Мир организмов разделен на два крупных царства: царство растений Plantaeи царство животных Animalia. В обоих царствах различается шесть крупных систематических категорий от высших к низшим (табл. 2).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right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Таблица 2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center"/>
        <w:textAlignment w:val="auto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>Классификация царств растений и животных на главные систематические категории</w:t>
      </w:r>
    </w:p>
    <w:tbl>
      <w:tblPr>
        <w:tblStyle w:val="4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09"/>
        <w:gridCol w:w="1219"/>
        <w:gridCol w:w="3454"/>
        <w:gridCol w:w="3503"/>
      </w:tblGrid>
      <w:tr>
        <w:tc>
          <w:tcPr>
            <w:tcW w:w="121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Главные категории</w:t>
            </w:r>
          </w:p>
        </w:tc>
        <w:tc>
          <w:tcPr>
            <w:tcW w:w="1224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Латинское название</w:t>
            </w:r>
          </w:p>
        </w:tc>
        <w:tc>
          <w:tcPr>
            <w:tcW w:w="3480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Примеры из царства животных</w:t>
            </w:r>
          </w:p>
        </w:tc>
        <w:tc>
          <w:tcPr>
            <w:tcW w:w="3528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Примеры из царства растений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1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Царство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224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Regnum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Phylum</w:t>
            </w:r>
          </w:p>
        </w:tc>
        <w:tc>
          <w:tcPr>
            <w:tcW w:w="3480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Animalia (животные)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Chordata (хордовые)</w:t>
            </w:r>
          </w:p>
        </w:tc>
        <w:tc>
          <w:tcPr>
            <w:tcW w:w="3528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Plantae (растения)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Angiospermae (покрытосеменные)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1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Класс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Отряд</w:t>
            </w:r>
          </w:p>
        </w:tc>
        <w:tc>
          <w:tcPr>
            <w:tcW w:w="1224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Classis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Grdo</w:t>
            </w:r>
          </w:p>
        </w:tc>
        <w:tc>
          <w:tcPr>
            <w:tcW w:w="3480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Mammalia (млекопитающие)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Carnivora (хищные)</w:t>
            </w:r>
          </w:p>
        </w:tc>
        <w:tc>
          <w:tcPr>
            <w:tcW w:w="3528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Magnoliales (магнолиевые)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Dicotyledoneae (двудольные)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1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Семейство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Род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Вид</w:t>
            </w:r>
          </w:p>
        </w:tc>
        <w:tc>
          <w:tcPr>
            <w:tcW w:w="1224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Familia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Genus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3480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Canidae (собаки)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Canis (собака)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Canis familiaris (собака домашняя)</w:t>
            </w:r>
          </w:p>
        </w:tc>
        <w:tc>
          <w:tcPr>
            <w:tcW w:w="3528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Magnoliaceae (магнолии)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Magnolia (магнолия)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Magnolia stellata (магнолия звездчатая)</w:t>
            </w: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дальнейшем дроблений этих категорий для обозначения используются приставки super-(над-), sub-(под-), infra-(инфра-, внутри-) и т.д.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Эти систематические категории легко узнать по окончаниям латинских названий (табл. 3). Все фоссилии обозначаются двойными наименованиями, т.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 к ним применяется введенная К. Линнеем бинарная или биномиальная номенклатура, например, Homo erectus.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right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Таблица 3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center"/>
        <w:textAlignment w:val="auto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>Окончание латинских наименований фоссилий как средство определения их ранга</w:t>
      </w:r>
    </w:p>
    <w:tbl>
      <w:tblPr>
        <w:tblStyle w:val="4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44"/>
        <w:gridCol w:w="2530"/>
        <w:gridCol w:w="4211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66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Царство растений</w:t>
            </w:r>
          </w:p>
        </w:tc>
        <w:tc>
          <w:tcPr>
            <w:tcW w:w="2544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Систематическая категория</w:t>
            </w:r>
          </w:p>
        </w:tc>
        <w:tc>
          <w:tcPr>
            <w:tcW w:w="4248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Царство животных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66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-a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-da</w:t>
            </w:r>
          </w:p>
        </w:tc>
        <w:tc>
          <w:tcPr>
            <w:tcW w:w="2544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Тип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Подтип</w:t>
            </w:r>
          </w:p>
        </w:tc>
        <w:tc>
          <w:tcPr>
            <w:tcW w:w="4248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-a, -ea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-a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66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-eae, -es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-ae, -eae, -ideae, - oideae</w:t>
            </w:r>
          </w:p>
        </w:tc>
        <w:tc>
          <w:tcPr>
            <w:tcW w:w="2544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Класс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Подкласс</w:t>
            </w:r>
          </w:p>
        </w:tc>
        <w:tc>
          <w:tcPr>
            <w:tcW w:w="4248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-a, -ae, -es, -ida, -idea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-a, -ata, -es, -ea, -I, -ia, -ida, -idia, -ina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66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-ales, -ata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-atae, -eae, -ineae, -oideae</w:t>
            </w:r>
          </w:p>
        </w:tc>
        <w:tc>
          <w:tcPr>
            <w:tcW w:w="2544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Отряд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Подотряд</w:t>
            </w:r>
          </w:p>
        </w:tc>
        <w:tc>
          <w:tcPr>
            <w:tcW w:w="4248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-a, -ae, -acea, -aria, -ata, -ea, -I, -ia,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-ida, -idea, -iformes, ina, -oidina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-a, -aria, -ata, -ea, -ia, -ina, -ites, -oidea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66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-oideae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-aceae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-oideae, -ideae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-eae, -ae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-inae</w:t>
            </w:r>
          </w:p>
        </w:tc>
        <w:tc>
          <w:tcPr>
            <w:tcW w:w="2544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Надсемейство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Семейство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Подсемейство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Триба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Подтриба</w:t>
            </w:r>
          </w:p>
        </w:tc>
        <w:tc>
          <w:tcPr>
            <w:tcW w:w="4248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-a, -acea, -aceae, -icae, -ida, -oida, -oidae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-I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-inae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-ae, -I, -ites, -ides</w:t>
            </w: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Первое название здесь обозначает принадлежность к определенному роду, а второе является собственно видовым названием.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 xml:space="preserve">олное видовое название включает в себя и фамилию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учёного</w:t>
      </w:r>
      <w:r>
        <w:rPr>
          <w:rFonts w:ascii="Times New Roman" w:hAnsi="Times New Roman"/>
          <w:color w:val="000000"/>
          <w:sz w:val="28"/>
          <w:szCs w:val="28"/>
        </w:rPr>
        <w:t>, впервые описавшего в литературном источнике и изобразившего окаменелость, например ArchaeopteryxlithographicaН. Meyer. Христиан Эрих Герман фон Мейер (1801 —1869) впервые обработал эту древнюю птицу.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Вкратце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приведённая</w:t>
      </w:r>
      <w:r>
        <w:rPr>
          <w:rFonts w:ascii="Times New Roman" w:hAnsi="Times New Roman"/>
          <w:color w:val="000000"/>
          <w:sz w:val="28"/>
          <w:szCs w:val="28"/>
        </w:rPr>
        <w:t xml:space="preserve"> выше номенклатура установлена и изложена в виде обязательных для всех палеонтологов правил в «Международных правилах зоологической номенклатуры» и в «Международном кодексе ботанической номенклатуры». Эти основополагающие правила нацелены на сохранение за каждой систематической категорией только одного названия и на предотвращение ошибок и неправильного толкования, корни которых в незнании научных достижений коллег по работе и литературных источников.</w:t>
      </w:r>
    </w:p>
    <w:p>
      <w:pPr>
        <w:spacing w:before="0" w:beforeAutospacing="0" w:after="160" w:afterAutospacing="0" w:line="259" w:lineRule="auto"/>
        <w:ind w:firstLine="708" w:firstLineChars="0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Глава II</w:t>
      </w:r>
      <w:r>
        <w:rPr>
          <w:rFonts w:ascii="Times New Roman" w:hAnsi="Times New Roman" w:eastAsia="Calibri"/>
          <w:b/>
          <w:sz w:val="28"/>
          <w:szCs w:val="28"/>
        </w:rPr>
        <w:tab/>
      </w:r>
      <w:r>
        <w:rPr>
          <w:rFonts w:ascii="Times New Roman" w:hAnsi="Times New Roman" w:eastAsia="Calibri"/>
          <w:b/>
          <w:sz w:val="28"/>
          <w:szCs w:val="28"/>
        </w:rPr>
        <w:t>МАТЕРИАЛЫ И МЕТОДЫ ИССЛЕДОВАНИЙ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2.1 Предмет исследовани</w:t>
      </w:r>
      <w:r>
        <w:rPr>
          <w:rFonts w:ascii="Times New Roman" w:hAnsi="Times New Roman" w:eastAsia="Calibri"/>
          <w:b/>
          <w:sz w:val="28"/>
          <w:szCs w:val="28"/>
          <w:lang w:val="ru-RU"/>
        </w:rPr>
        <w:t>я</w:t>
      </w:r>
      <w:r>
        <w:rPr>
          <w:rFonts w:hint="default" w:ascii="Times New Roman" w:hAnsi="Times New Roman" w:eastAsia="Calibri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eastAsia="Calibri"/>
          <w:b/>
          <w:sz w:val="28"/>
          <w:szCs w:val="28"/>
        </w:rPr>
        <w:t>Описание места исследования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Изучаемый предмет находится в устье реки Белой – правого притока в верхнем течении р. Нальчик в районе с. Белая речка.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Река Нальчик относится к группе рек родникового питания, водность реки зависит в основном от количества осадков. Своё начало река берёт вблизи с. Белая Речка. Площадь водосборного бассейна реки Нальчик составляет 651 км².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Река Нальчик, протекая с юго-запада на северо-восток через столицу Кабардино-Балкарии г. Нальчик, занимает центральное положение на территории республики. Верховье реки Нальчик расположено в пределах среднегорной и низкогорной зонах Центрального Кавказа: северного макросклона Скалистого хребта, северных и северо-западных склонов Лесистого хребта (рис.3). Здесь происходит формирование основного водосбора Нальчика. Начало реке дают небольшие родники на склонах хребта Крундух (2660 м).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Правый сток </w:t>
      </w:r>
      <w:r>
        <w:rPr>
          <w:rFonts w:ascii="Times New Roman" w:hAnsi="Times New Roman" w:eastAsia="Calibri"/>
          <w:sz w:val="28"/>
          <w:szCs w:val="28"/>
          <w:lang w:val="ru-RU"/>
        </w:rPr>
        <w:t>р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. </w:t>
      </w:r>
      <w:r>
        <w:rPr>
          <w:rFonts w:ascii="Times New Roman" w:hAnsi="Times New Roman" w:eastAsia="Calibri"/>
          <w:sz w:val="28"/>
          <w:szCs w:val="28"/>
        </w:rPr>
        <w:t>Нальчик (р. Белая) формируется в низкогорном поясе, в пределах Лесистого хребта. Исток реки Белая находится в отрогах Лесистого хребта с самой высокой вершиной Издара (1326 м). На территории с. Белая Речка река Нальчик протекает в хорошо разработанной долине между отрогами Лесистого хребта (рис.4).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108" w:type="dxa"/>
          <w:right w:w="108" w:type="dxa"/>
        </w:tblCellMar>
      </w:tblPr>
      <w:tblGrid>
        <w:gridCol w:w="5547"/>
        <w:gridCol w:w="40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5547" w:type="dxa"/>
          </w:tcPr>
          <w:p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eastAsia="Calibri"/>
                <w:vertAlign w:val="baseline"/>
              </w:rPr>
            </w:pPr>
          </w:p>
          <w:p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eastAsia="Calibri"/>
                <w:vertAlign w:val="baseline"/>
              </w:rPr>
            </w:pPr>
          </w:p>
          <w:p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eastAsia="Calibri"/>
                <w:vertAlign w:val="baseline"/>
              </w:rPr>
            </w:pPr>
            <w:r>
              <w:drawing>
                <wp:inline distT="0" distB="0" distL="0" distR="0">
                  <wp:extent cx="3423285" cy="2124075"/>
                  <wp:effectExtent l="0" t="0" r="5715" b="9525"/>
                  <wp:docPr id="12" name="Рисунок 12" descr="C:\St_komp\D\ЭКОЦЕНТР_ЛЕТНИЙ СЕМЕСТР\05_ПРОЕКТЫ\грозопеленгация\геология и тектоника КБР\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C:\St_komp\D\ЭКОЦЕНТР_ЛЕТНИЙ СЕМЕСТР\05_ПРОЕКТЫ\грозопеленгация\геология и тектоника КБР\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28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</w:tcPr>
          <w:p>
            <w:pPr>
              <w:spacing w:before="0" w:beforeAutospacing="0" w:after="0" w:afterAutospacing="0" w:line="276" w:lineRule="auto"/>
              <w:jc w:val="right"/>
              <w:rPr>
                <w:rFonts w:ascii="Times New Roman" w:hAnsi="Times New Roman" w:eastAsia="Calibri"/>
                <w:vertAlign w:val="baseline"/>
              </w:rPr>
            </w:pPr>
            <w:r>
              <w:drawing>
                <wp:inline distT="0" distB="0" distL="0" distR="0">
                  <wp:extent cx="2284095" cy="2964815"/>
                  <wp:effectExtent l="0" t="0" r="1905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585" t="2848" r="59397" b="14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95" cy="296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554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firstLine="708"/>
              <w:jc w:val="center"/>
              <w:textAlignment w:val="auto"/>
              <w:rPr>
                <w:rFonts w:ascii="Times New Roman" w:hAnsi="Times New Roman" w:eastAsia="Calibri"/>
                <w:vertAlign w:val="baseline"/>
              </w:rPr>
            </w:pPr>
            <w:r>
              <w:rPr>
                <w:rFonts w:ascii="Times New Roman" w:hAnsi="Times New Roman" w:eastAsia="Calibri"/>
              </w:rPr>
              <w:t>Рисунок 3. Расположение основных горных хребтов</w:t>
            </w:r>
          </w:p>
        </w:tc>
        <w:tc>
          <w:tcPr>
            <w:tcW w:w="402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center"/>
              <w:textAlignment w:val="auto"/>
              <w:rPr>
                <w:rFonts w:ascii="Times New Roman" w:hAnsi="Times New Roman" w:eastAsia="Calibri"/>
                <w:vertAlign w:val="baseline"/>
              </w:rPr>
            </w:pPr>
            <w:r>
              <w:rPr>
                <w:rFonts w:ascii="Times New Roman" w:hAnsi="Times New Roman" w:eastAsia="Calibri"/>
              </w:rPr>
              <w:t>Рис.4 Долина реки Нальчик в районе с. Белая речка. (фото Емузовой Л.З.)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Верховье реки Нальчик охватывает пояс среднегорных куэстовых денудационно-эрозионныхскладчатых хребтов, сложенных карбонатными и терригенно-карбонатными породами (рис.5). </w:t>
      </w:r>
    </w:p>
    <w:p>
      <w:pPr>
        <w:spacing w:before="0" w:beforeAutospacing="0" w:after="0" w:afterAutospacing="0" w:line="276" w:lineRule="auto"/>
        <w:jc w:val="center"/>
        <w:rPr>
          <w:rFonts w:ascii="Times New Roman" w:hAnsi="Times New Roman" w:eastAsia="Calibri"/>
        </w:rPr>
      </w:pPr>
      <w:r>
        <w:drawing>
          <wp:inline distT="0" distB="0" distL="0" distR="0">
            <wp:extent cx="3159760" cy="1329690"/>
            <wp:effectExtent l="0" t="0" r="10160" b="11430"/>
            <wp:docPr id="11" name="Рисунок 11" descr="C:\St_komp\D\ЭКОЦЕНТР_ЛЕТНИЙ СЕМЕСТР\05_ПРОЕКТЫ\ФИЗИЧЕСКАЯ ГЕОГРАФИЯ\КАРТИНКИ\КУЭ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St_komp\D\ЭКОЦЕНТР_ЛЕТНИЙ СЕМЕСТР\05_ПРОЕКТЫ\ФИЗИЧЕСКАЯ ГЕОГРАФИЯ\КАРТИНКИ\КУЭСТ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 w:line="276" w:lineRule="auto"/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Рисунок 5. Скалистый, Пастбищный и Лесистый горные хребты. Такие гряды с ассиметричными склонами называются куэстами.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До селения Белая Речка в геоморфологическом отношении оно состоит из: сильно </w:t>
      </w:r>
      <w:r>
        <w:rPr>
          <w:rFonts w:ascii="Times New Roman" w:hAnsi="Times New Roman" w:eastAsia="Calibri"/>
          <w:sz w:val="28"/>
          <w:szCs w:val="28"/>
          <w:lang w:val="ru-RU"/>
        </w:rPr>
        <w:t>расчленённых</w:t>
      </w:r>
      <w:r>
        <w:rPr>
          <w:rFonts w:ascii="Times New Roman" w:hAnsi="Times New Roman" w:eastAsia="Calibri"/>
          <w:sz w:val="28"/>
          <w:szCs w:val="28"/>
        </w:rPr>
        <w:t xml:space="preserve"> долинами рек крупных платообразных горных массивов, покрытых каменистыми и щебнистыми осыпями; системы вытянутых хребтов и их коротких отрогов, с округлыми вершинами и пологими склонами [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>8</w:t>
      </w:r>
      <w:r>
        <w:rPr>
          <w:rFonts w:ascii="Times New Roman" w:hAnsi="Times New Roman" w:eastAsia="Calibri"/>
          <w:sz w:val="28"/>
          <w:szCs w:val="28"/>
        </w:rPr>
        <w:t>].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ab/>
      </w:r>
      <w:r>
        <w:rPr>
          <w:rFonts w:hint="default" w:ascii="Times New Roman" w:hAnsi="Times New Roman" w:eastAsia="Calibri"/>
          <w:b/>
          <w:bCs/>
          <w:sz w:val="28"/>
          <w:szCs w:val="28"/>
          <w:lang w:val="ru-RU"/>
        </w:rPr>
        <w:t>2.2 Методы исследования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ab/>
      </w:r>
      <w:r>
        <w:rPr>
          <w:rFonts w:hint="default" w:ascii="Times New Roman" w:hAnsi="Times New Roman" w:eastAsia="Calibri"/>
          <w:sz w:val="28"/>
          <w:szCs w:val="28"/>
          <w:lang w:val="ru-RU"/>
        </w:rPr>
        <w:t>Изучение фоссилий включает несколько последовательных операций: а) полевые сборы, б) химико-техническая обработка, в) научная обработка.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 w:firstLineChars="0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>Более подробно: сбор в маршрутах палеонтологического материала; извлечение макрофоссилий, т. е. ископаемых, различимых невооруженным глазом, из пород непосредственно в полевых условиях; простое механическое препарирование макрофоссилий в лабораторных условиях; химическая обработка макрофоссилий; фотосъёмка; микроскопирование; р</w:t>
      </w:r>
      <w:r>
        <w:rPr>
          <w:rFonts w:hint="default" w:ascii="Times New Roman" w:hAnsi="Times New Roman" w:eastAsia="Calibri" w:cs="Times New Roman"/>
          <w:bCs/>
          <w:sz w:val="28"/>
          <w:szCs w:val="28"/>
          <w:lang w:val="ru" w:eastAsia="en-US" w:bidi="ar"/>
        </w:rPr>
        <w:t>ентгеновская спектроскопия</w:t>
      </w:r>
      <w:r>
        <w:rPr>
          <w:rFonts w:hint="default" w:ascii="Times New Roman" w:hAnsi="Times New Roman" w:eastAsia="Calibri" w:cs="Times New Roman"/>
          <w:bCs/>
          <w:sz w:val="28"/>
          <w:szCs w:val="28"/>
          <w:lang w:val="ru-RU" w:eastAsia="en-US" w:bidi="ar"/>
        </w:rPr>
        <w:t>; с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>равнительно-морфологический метод; использование атласов-определителей, монографий.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textAlignment w:val="auto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2.</w:t>
      </w:r>
      <w:r>
        <w:rPr>
          <w:rFonts w:hint="default" w:ascii="Times New Roman" w:hAnsi="Times New Roman" w:eastAsia="Calibri"/>
          <w:b/>
          <w:sz w:val="28"/>
          <w:szCs w:val="28"/>
          <w:lang w:val="ru-RU"/>
        </w:rPr>
        <w:t>2</w:t>
      </w:r>
      <w:r>
        <w:rPr>
          <w:rFonts w:ascii="Times New Roman" w:hAnsi="Times New Roman" w:eastAsia="Calibri"/>
          <w:b/>
          <w:sz w:val="28"/>
          <w:szCs w:val="28"/>
        </w:rPr>
        <w:t>.</w:t>
      </w:r>
      <w:r>
        <w:rPr>
          <w:rFonts w:hint="default" w:ascii="Times New Roman" w:hAnsi="Times New Roman" w:eastAsia="Calibri"/>
          <w:b/>
          <w:sz w:val="28"/>
          <w:szCs w:val="28"/>
          <w:lang w:val="ru-RU"/>
        </w:rPr>
        <w:t>1</w:t>
      </w:r>
      <w:r>
        <w:rPr>
          <w:rFonts w:ascii="Times New Roman" w:hAnsi="Times New Roman" w:eastAsia="Calibri"/>
          <w:b/>
          <w:sz w:val="28"/>
          <w:szCs w:val="28"/>
        </w:rPr>
        <w:t xml:space="preserve"> Отбор проб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ab/>
      </w:r>
      <w:r>
        <w:rPr>
          <w:rFonts w:ascii="Times New Roman" w:hAnsi="Times New Roman" w:eastAsia="Calibri"/>
          <w:sz w:val="28"/>
          <w:szCs w:val="28"/>
        </w:rPr>
        <w:t>Пробоотбор проводился в сентябре, октябре 2022 года в районе с. Белая Речка в верховье реки Нальчик, а именно на ее правом притоке – реке Белой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 (рис.6,7)</w:t>
      </w:r>
      <w:r>
        <w:rPr>
          <w:rFonts w:ascii="Times New Roman" w:hAnsi="Times New Roman" w:eastAsia="Calibri"/>
          <w:sz w:val="28"/>
          <w:szCs w:val="28"/>
        </w:rPr>
        <w:t>.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5233"/>
        <w:gridCol w:w="43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7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ascii="Times New Roman" w:hAnsi="Times New Roman" w:eastAsia="Calibri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Calibri"/>
                <w:sz w:val="28"/>
                <w:szCs w:val="28"/>
                <w:lang w:val="ru-RU"/>
              </w:rPr>
              <w:drawing>
                <wp:inline distT="0" distB="0" distL="114300" distR="114300">
                  <wp:extent cx="3410585" cy="1887855"/>
                  <wp:effectExtent l="0" t="0" r="3175" b="1905"/>
                  <wp:docPr id="6" name="Изображение 6" descr="Белая 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Белая р.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585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ascii="Times New Roman" w:hAnsi="Times New Roman" w:eastAsia="Calibri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Calibri"/>
                <w:lang w:val="ru-RU"/>
              </w:rPr>
              <w:drawing>
                <wp:inline distT="0" distB="0" distL="114300" distR="114300">
                  <wp:extent cx="2790190" cy="1894205"/>
                  <wp:effectExtent l="0" t="0" r="13970" b="10795"/>
                  <wp:docPr id="5" name="Изображение 5" descr="559ac6d6-90fb-4325-a486-34c814e3e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559ac6d6-90fb-4325-a486-34c814e3e8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592" t="20914" r="-592" b="28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190" cy="189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785" w:type="dxa"/>
          </w:tcPr>
          <w:p>
            <w:pPr>
              <w:spacing w:before="0" w:beforeAutospacing="0" w:after="0" w:afterAutospacing="0" w:line="276" w:lineRule="auto"/>
              <w:jc w:val="center"/>
              <w:rPr>
                <w:rFonts w:ascii="Times New Roman" w:hAnsi="Times New Roman" w:eastAsia="Calibri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Calibri"/>
                <w:lang w:val="ru-RU"/>
              </w:rPr>
              <w:t>Рисунок 6. Пробоотбор в сентябре, октябре 2022 года в районе с. Белая Речка в верховье реки Нальчик (река Белая)</w:t>
            </w:r>
          </w:p>
        </w:tc>
        <w:tc>
          <w:tcPr>
            <w:tcW w:w="4786" w:type="dxa"/>
          </w:tcPr>
          <w:p>
            <w:pPr>
              <w:spacing w:before="0" w:beforeAutospacing="0" w:after="0" w:afterAutospacing="0" w:line="276" w:lineRule="auto"/>
              <w:jc w:val="center"/>
              <w:rPr>
                <w:rFonts w:ascii="Times New Roman" w:hAnsi="Times New Roman" w:eastAsia="Calibri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Calibri"/>
                <w:lang w:val="ru-RU"/>
              </w:rPr>
              <w:t>Рисунок 7. Берег реки Белая (Фото Шороховой Т.С.)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</w:rPr>
        <w:tab/>
      </w:r>
      <w:r>
        <w:rPr>
          <w:rFonts w:hint="default" w:ascii="Times New Roman" w:hAnsi="Times New Roman" w:eastAsia="Calibri"/>
          <w:sz w:val="28"/>
          <w:szCs w:val="28"/>
        </w:rPr>
        <w:t xml:space="preserve">Фоссилии встречаются только в осадочных породах, таких, как пески, песчаники, глины, мергели, известняки; значительно реже их можно встретить в некоторых метаморфических породах, как, например, в сланцах и мраморах. Их можно наблюдать в естественных обнажениях или можно собирать с поверхности.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Специфические особенности полевых сборов ископаемых зависят от того, с какой целью их собирают (биостратиграфические, палеоэкологические, тафономические исследования, сборы музейных коллекций и т. д.).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ab/>
      </w:r>
      <w:r>
        <w:rPr>
          <w:rFonts w:ascii="Times New Roman" w:hAnsi="Times New Roman" w:eastAsia="Calibri"/>
          <w:sz w:val="28"/>
          <w:szCs w:val="28"/>
        </w:rPr>
        <w:t>Биостратиграфия - часть стратиграфии, занимающаяся идентификацией и cопоставлением земных слоёв и определением относительного геологического возраста осадочных горных пород путём изучения распределения в них ископаемых остатков организмов. Применяется для детального расчленения геологических разрезов.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Палеоэкология - раздел палеонтологии, изучающий условия и среду обитания, жизнь и взаимоотношения организмов геологического прошлого, а также их изменения в процессе исторического развития.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ab/>
      </w:r>
      <w:r>
        <w:rPr>
          <w:rFonts w:ascii="Times New Roman" w:hAnsi="Times New Roman" w:eastAsia="Calibri"/>
          <w:sz w:val="28"/>
          <w:szCs w:val="28"/>
        </w:rPr>
        <w:t>Целью нашего исследования является</w:t>
      </w:r>
      <w:r>
        <w:rPr>
          <w:rFonts w:ascii="Times New Roman" w:hAnsi="Times New Roman"/>
          <w:sz w:val="28"/>
          <w:szCs w:val="28"/>
        </w:rPr>
        <w:t xml:space="preserve"> выявление видового состава фоссилий, то есть нас интересуют и </w:t>
      </w:r>
      <w:r>
        <w:rPr>
          <w:rFonts w:ascii="Times New Roman" w:hAnsi="Times New Roman" w:eastAsia="Calibri"/>
          <w:sz w:val="28"/>
          <w:szCs w:val="28"/>
        </w:rPr>
        <w:t xml:space="preserve">биостратиграфические, и палеоэкологические аспекты, а также – пополнение коллекции </w:t>
      </w:r>
      <w:r>
        <w:rPr>
          <w:rFonts w:ascii="Times New Roman" w:hAnsi="Times New Roman"/>
          <w:sz w:val="28"/>
          <w:szCs w:val="28"/>
        </w:rPr>
        <w:t>музея живой природы, отдела геологии НОЦ «Ботанический сад» КБГУ.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Фоссилии отбирались в естественных обнажениях осадочных пород вдоль берега реки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, а также способом </w:t>
      </w:r>
      <w:r>
        <w:rPr>
          <w:rFonts w:hint="default" w:ascii="Times New Roman" w:hAnsi="Times New Roman" w:eastAsia="Calibri"/>
          <w:sz w:val="28"/>
          <w:szCs w:val="28"/>
        </w:rPr>
        <w:t>прост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>ого</w:t>
      </w:r>
      <w:r>
        <w:rPr>
          <w:rFonts w:hint="default" w:ascii="Times New Roman" w:hAnsi="Times New Roman" w:eastAsia="Calibri"/>
          <w:sz w:val="28"/>
          <w:szCs w:val="28"/>
        </w:rPr>
        <w:t xml:space="preserve"> сбора фоссилий с поверхности земли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 ( рис.8)</w:t>
      </w:r>
      <w:r>
        <w:rPr>
          <w:rFonts w:ascii="Times New Roman" w:hAnsi="Times New Roman" w:eastAsia="Calibri"/>
          <w:sz w:val="28"/>
          <w:szCs w:val="28"/>
        </w:rPr>
        <w:t>.</w:t>
      </w:r>
    </w:p>
    <w:p>
      <w:pPr>
        <w:spacing w:before="0" w:beforeAutospacing="0" w:after="0" w:afterAutospacing="0" w:line="276" w:lineRule="auto"/>
        <w:jc w:val="center"/>
        <w:rPr>
          <w:rFonts w:hint="default" w:ascii="Times New Roman" w:hAnsi="Times New Roman" w:eastAsia="Calibri"/>
          <w:lang w:val="ru-RU"/>
        </w:rPr>
      </w:pPr>
      <w:r>
        <w:rPr>
          <w:rFonts w:hint="default" w:ascii="Times New Roman" w:hAnsi="Times New Roman" w:eastAsia="Calibri"/>
          <w:lang w:val="ru-RU"/>
        </w:rPr>
        <w:drawing>
          <wp:inline distT="0" distB="0" distL="114300" distR="114300">
            <wp:extent cx="2526665" cy="3369945"/>
            <wp:effectExtent l="0" t="0" r="3175" b="13335"/>
            <wp:docPr id="7" name="Изображение 7" descr="1b155d41-2b49-4989-9051-046b06b292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1b155d41-2b49-4989-9051-046b06b2927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 w:line="276" w:lineRule="auto"/>
        <w:jc w:val="center"/>
        <w:rPr>
          <w:rFonts w:hint="default" w:ascii="Times New Roman" w:hAnsi="Times New Roman" w:eastAsia="Calibri"/>
          <w:lang w:val="ru-RU"/>
        </w:rPr>
      </w:pPr>
      <w:r>
        <w:rPr>
          <w:rFonts w:hint="default" w:ascii="Times New Roman" w:hAnsi="Times New Roman" w:eastAsia="Calibri"/>
          <w:lang w:val="ru-RU"/>
        </w:rPr>
        <w:t xml:space="preserve">Рисунок 8. Простой сбор </w:t>
      </w:r>
      <w:r>
        <w:rPr>
          <w:rFonts w:hint="default" w:ascii="Times New Roman" w:hAnsi="Times New Roman" w:eastAsia="Calibri"/>
        </w:rPr>
        <w:t>фоссилий с поверхности земли</w:t>
      </w:r>
      <w:r>
        <w:rPr>
          <w:rFonts w:hint="default" w:ascii="Times New Roman" w:hAnsi="Times New Roman" w:eastAsia="Calibri"/>
          <w:lang w:val="ru-RU"/>
        </w:rPr>
        <w:t xml:space="preserve"> (Фото Шороховой Т.С.)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firstLine="709" w:firstLineChars="0"/>
        <w:jc w:val="both"/>
        <w:textAlignment w:val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.2 Подготовка фоссилий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firstLine="709" w:firstLineChars="0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Подготовка фоссилий начинается уже при шурфовании. В каждом отдельном случае все зависят от характера сохранности фоссилий и литологических особенностей вмещающих пород. Освобождение этих фоссилий от породы и их полное препарирование выполняются уже в лаборатории (рис.9).</w:t>
      </w:r>
    </w:p>
    <w:p>
      <w:pPr>
        <w:numPr>
          <w:ilvl w:val="0"/>
          <w:numId w:val="0"/>
        </w:numPr>
        <w:spacing w:before="0" w:beforeAutospacing="0" w:after="0" w:afterAutospacing="0" w:line="276" w:lineRule="auto"/>
        <w:jc w:val="center"/>
        <w:rPr>
          <w:rFonts w:hint="default" w:ascii="Times New Roman" w:hAnsi="Times New Roman"/>
          <w:b w:val="0"/>
          <w:bCs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2800350" cy="2100580"/>
            <wp:effectExtent l="0" t="0" r="3810" b="2540"/>
            <wp:docPr id="8" name="Изображение 8" descr="8c418a83-2c36-4dc8-bc95-881935137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8c418a83-2c36-4dc8-bc95-8819351374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0" w:beforeAutospacing="0" w:after="0" w:afterAutospacing="0" w:line="276" w:lineRule="auto"/>
        <w:jc w:val="center"/>
        <w:rPr>
          <w:rFonts w:hint="default" w:ascii="Times New Roman" w:hAnsi="Times New Roman"/>
          <w:b w:val="0"/>
          <w:bCs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>Рисунок 9. Камеральное препарирование фоссилий (Фото Бердановой Е.И.)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ab/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Задача препарирования состоит в освобождении окаменелости от вмещающей породы, без нанесения ей каких-либо повреждений. Каких-либо общих методов препарирования не существует, извлечение окаменелости из вмещающей породы зависит от интуиции, терпения и опыта препаратора.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 w:firstLineChars="0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В нашем случае фоссилии очищаются путём осторожного откалывания вмещающей породы с помощью препарировальных игл и ланцетов.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/>
          <w:b/>
          <w:bCs w:val="0"/>
          <w:sz w:val="28"/>
          <w:szCs w:val="28"/>
          <w:lang w:val="ru-RU"/>
        </w:rPr>
        <w:t>2.2.3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Фотографирование фоссилий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В задачу фотосъёмки входит детализация диагностики фоссилий. </w:t>
      </w:r>
      <w:r>
        <w:rPr>
          <w:rFonts w:ascii="Times New Roman" w:hAnsi="Times New Roman" w:cs="Times New Roman"/>
          <w:sz w:val="28"/>
          <w:szCs w:val="28"/>
          <w:lang w:val="ru-RU"/>
        </w:rPr>
        <w:t>Фото</w:t>
      </w:r>
      <w:r>
        <w:rPr>
          <w:rFonts w:ascii="Times New Roman" w:hAnsi="Times New Roman" w:cs="Times New Roman"/>
          <w:sz w:val="28"/>
          <w:szCs w:val="28"/>
        </w:rPr>
        <w:t>документ отража</w:t>
      </w:r>
      <w:r>
        <w:rPr>
          <w:rFonts w:ascii="Times New Roman" w:hAnsi="Times New Roman" w:cs="Times New Roman"/>
          <w:sz w:val="28"/>
          <w:szCs w:val="28"/>
          <w:lang w:val="ru-RU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момент существования и структуру своего оригинала, его факсимиле. </w:t>
      </w:r>
      <w:r>
        <w:rPr>
          <w:rFonts w:ascii="Times New Roman" w:hAnsi="Times New Roman" w:cs="Times New Roman"/>
          <w:sz w:val="28"/>
          <w:szCs w:val="28"/>
          <w:lang w:val="ru-RU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отографирование фоссилий представляет собой точный технический метод, дающий фундаментальное представление об оптико-геометрических свойствах объекта. Правильно выбранное освещение обеспечивает </w:t>
      </w:r>
      <w:r>
        <w:rPr>
          <w:rFonts w:ascii="Times New Roman" w:hAnsi="Times New Roman" w:cs="Times New Roman"/>
          <w:sz w:val="28"/>
          <w:szCs w:val="28"/>
          <w:lang w:val="ru-RU"/>
        </w:rPr>
        <w:t>чёткость</w:t>
      </w:r>
      <w:r>
        <w:rPr>
          <w:rFonts w:ascii="Times New Roman" w:hAnsi="Times New Roman" w:cs="Times New Roman"/>
          <w:sz w:val="28"/>
          <w:szCs w:val="28"/>
        </w:rPr>
        <w:t xml:space="preserve"> объекта и структуры его поверхности.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 w:firstLineChars="0"/>
        <w:jc w:val="both"/>
        <w:textAlignment w:val="auto"/>
        <w:rPr>
          <w:rFonts w:hint="default" w:ascii="Times New Roman" w:hAnsi="Times New Roman"/>
          <w:b/>
          <w:bCs w:val="0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 w:val="0"/>
          <w:sz w:val="28"/>
          <w:szCs w:val="28"/>
          <w:lang w:val="ru-RU"/>
        </w:rPr>
        <w:t>2.2.4 Инструментальные методы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 w:firstLineChars="0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Рентгеновская спектроскопия - раздел спектроскопии, изучающий спектры испускания (эмиссионные) и поглощения (абсорбционные) рентгеновского излучения (электромагнитное излучение в области длин волн 10-2-102 нм).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 w:firstLineChars="0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Рентгеновская фотоэлектронная спектроскопия - полуколичественный спектроскопический метод исследования элементного состава, химического и электронного состояния атомов, на поверхности изучаемого материала. Он основан на явлении внешнего фотоэффекта. Спектры РФЭС получают облучением материала пучком рентгеновских лучей с регистрацией зависимости количества испускаемых электронов от их энергии связи.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 w:firstLineChars="0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Химический качественный анализ объектов был проведён в Центре коллективного пользования в лаборатории «Рентгендиагностика материала» с помощью Рентгеновской спектроскопии на аппаратах </w:t>
      </w:r>
      <w:r>
        <w:rPr>
          <w:rFonts w:hint="default" w:ascii="Times New Roman" w:hAnsi="Times New Roman"/>
          <w:b w:val="0"/>
          <w:bCs/>
          <w:sz w:val="28"/>
          <w:szCs w:val="28"/>
          <w:lang w:val="en-US"/>
        </w:rPr>
        <w:t xml:space="preserve">Spectroscan MAKC - GV 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и </w:t>
      </w:r>
      <w:r>
        <w:rPr>
          <w:rFonts w:hint="default" w:ascii="Times New Roman" w:hAnsi="Times New Roman"/>
          <w:b w:val="0"/>
          <w:bCs/>
          <w:sz w:val="28"/>
          <w:szCs w:val="28"/>
          <w:lang w:val="en-US"/>
        </w:rPr>
        <w:t>D2-Phaser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(рис. 10).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4"/>
        <w:gridCol w:w="479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4" w:type="dxa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76" w:lineRule="auto"/>
              <w:ind w:left="0" w:right="0"/>
              <w:jc w:val="right"/>
              <w:textAlignment w:val="auto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drawing>
                <wp:inline distT="0" distB="0" distL="114300" distR="114300">
                  <wp:extent cx="1980565" cy="2641600"/>
                  <wp:effectExtent l="0" t="0" r="635" b="10160"/>
                  <wp:docPr id="16" name="Изображение 16" descr="59099624-3c3c-44c5-8943-9116713bef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16" descr="59099624-3c3c-44c5-8943-9116713bef9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2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а</w:t>
            </w:r>
          </w:p>
        </w:tc>
        <w:tc>
          <w:tcPr>
            <w:tcW w:w="4797" w:type="dxa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76" w:lineRule="auto"/>
              <w:ind w:left="0" w:right="0"/>
              <w:jc w:val="both"/>
              <w:textAlignment w:val="auto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drawing>
                <wp:inline distT="0" distB="0" distL="114300" distR="114300">
                  <wp:extent cx="1995170" cy="2661920"/>
                  <wp:effectExtent l="0" t="0" r="1270" b="5080"/>
                  <wp:docPr id="15" name="Изображение 15" descr="94fdb021-caff-484b-93ba-8ad112830e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15" descr="94fdb021-caff-484b-93ba-8ad112830ebb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266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76" w:lineRule="auto"/>
              <w:ind w:left="0" w:right="0"/>
              <w:jc w:val="center"/>
              <w:textAlignment w:val="auto"/>
              <w:rPr>
                <w:rFonts w:hint="default" w:ascii="Times New Roman" w:hAnsi="Times New Roman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 xml:space="preserve">Рисунок 10 </w:t>
            </w: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lang w:val="ru-RU"/>
              </w:rPr>
              <w:t xml:space="preserve">Рентгеновская спектроскопия на аппаратах 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76" w:lineRule="auto"/>
              <w:ind w:left="0" w:right="0"/>
              <w:jc w:val="center"/>
              <w:textAlignment w:val="auto"/>
              <w:rPr>
                <w:rFonts w:hint="default" w:ascii="Times New Roman" w:hAnsi="Times New Roman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lang w:val="ru-RU"/>
              </w:rPr>
              <w:t xml:space="preserve">а) </w:t>
            </w:r>
            <w:r>
              <w:rPr>
                <w:rFonts w:hint="default" w:ascii="Times New Roman" w:hAnsi="Times New Roman" w:eastAsia="Arial" w:cs="Times New Roman"/>
                <w:i w:val="0"/>
                <w:iCs w:val="0"/>
                <w:caps w:val="0"/>
                <w:color w:val="111111"/>
                <w:spacing w:val="0"/>
                <w:sz w:val="24"/>
                <w:szCs w:val="24"/>
                <w:shd w:val="clear" w:fill="FFFFFF"/>
              </w:rPr>
              <w:t xml:space="preserve">Рентгенофлюоресцентный элементный анализатор Спектроскан МАКС-GV; </w:t>
            </w:r>
            <w:r>
              <w:rPr>
                <w:rFonts w:hint="default" w:ascii="Times New Roman" w:hAnsi="Times New Roman" w:eastAsia="Arial" w:cs="Times New Roman"/>
                <w:i w:val="0"/>
                <w:iCs w:val="0"/>
                <w:caps w:val="0"/>
                <w:color w:val="111111"/>
                <w:spacing w:val="0"/>
                <w:sz w:val="24"/>
                <w:szCs w:val="24"/>
                <w:shd w:val="clear" w:fill="FFFFFF"/>
                <w:lang w:val="ru-RU"/>
              </w:rPr>
              <w:t>п</w:t>
            </w:r>
            <w:r>
              <w:rPr>
                <w:rFonts w:hint="default" w:ascii="Times New Roman" w:hAnsi="Times New Roman" w:eastAsia="Arial" w:cs="Times New Roman"/>
                <w:i w:val="0"/>
                <w:iCs w:val="0"/>
                <w:caps w:val="0"/>
                <w:color w:val="111111"/>
                <w:spacing w:val="0"/>
                <w:sz w:val="24"/>
                <w:szCs w:val="24"/>
                <w:shd w:val="clear" w:fill="FFFFFF"/>
              </w:rPr>
              <w:t>роизводитель: НПО «Спектрон», РФ, год выпуска: 2004</w:t>
            </w:r>
            <w:r>
              <w:rPr>
                <w:rFonts w:hint="default" w:ascii="Times New Roman" w:hAnsi="Times New Roman" w:eastAsia="Arial" w:cs="Times New Roman"/>
                <w:i w:val="0"/>
                <w:iCs w:val="0"/>
                <w:caps w:val="0"/>
                <w:color w:val="111111"/>
                <w:spacing w:val="0"/>
                <w:sz w:val="24"/>
                <w:szCs w:val="24"/>
                <w:shd w:val="clear" w:fill="FFFFFF"/>
                <w:lang w:val="ru-RU"/>
              </w:rPr>
              <w:t xml:space="preserve"> </w:t>
            </w: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lang w:val="ru-RU"/>
              </w:rPr>
              <w:t xml:space="preserve">и 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76" w:lineRule="auto"/>
              <w:ind w:left="0" w:right="0"/>
              <w:jc w:val="center"/>
              <w:textAlignment w:val="auto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lang w:val="ru-RU"/>
              </w:rPr>
              <w:t xml:space="preserve">б) </w:t>
            </w: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lang w:val="ru-RU"/>
              </w:rPr>
              <w:t>к</w:t>
            </w:r>
            <w:r>
              <w:rPr>
                <w:rFonts w:hint="default" w:ascii="Times New Roman" w:hAnsi="Times New Roman" w:eastAsia="Arial" w:cs="Times New Roman"/>
                <w:i w:val="0"/>
                <w:iCs w:val="0"/>
                <w:caps w:val="0"/>
                <w:color w:val="111111"/>
                <w:spacing w:val="0"/>
                <w:sz w:val="24"/>
                <w:szCs w:val="24"/>
                <w:shd w:val="clear" w:fill="FFFFFF"/>
              </w:rPr>
              <w:t>омпактный настольный порошковый дифрактометр D2 Phaser</w:t>
            </w:r>
            <w:r>
              <w:rPr>
                <w:rFonts w:hint="default" w:ascii="Times New Roman" w:hAnsi="Times New Roman" w:eastAsia="Arial" w:cs="Times New Roman"/>
                <w:i w:val="0"/>
                <w:iCs w:val="0"/>
                <w:caps w:val="0"/>
                <w:color w:val="111111"/>
                <w:spacing w:val="0"/>
                <w:sz w:val="24"/>
                <w:szCs w:val="24"/>
                <w:shd w:val="clear" w:fill="FFFFFF"/>
                <w:lang w:val="ru-RU"/>
              </w:rPr>
              <w:t>, п</w:t>
            </w:r>
            <w:r>
              <w:rPr>
                <w:rFonts w:hint="default" w:ascii="Times New Roman" w:hAnsi="Times New Roman" w:eastAsia="Arial" w:cs="Times New Roman"/>
                <w:i w:val="0"/>
                <w:iCs w:val="0"/>
                <w:caps w:val="0"/>
                <w:color w:val="111111"/>
                <w:spacing w:val="0"/>
                <w:sz w:val="24"/>
                <w:szCs w:val="24"/>
                <w:shd w:val="clear" w:fill="FFFFFF"/>
              </w:rPr>
              <w:t>роизводитель: Bruker AXS, Германия; год выпуска: 2011</w:t>
            </w:r>
            <w:r>
              <w:rPr>
                <w:rFonts w:hint="default" w:ascii="Times New Roman" w:hAnsi="Times New Roman" w:eastAsia="Arial" w:cs="Times New Roman"/>
                <w:i w:val="0"/>
                <w:iCs w:val="0"/>
                <w:caps w:val="0"/>
                <w:color w:val="111111"/>
                <w:spacing w:val="0"/>
                <w:sz w:val="24"/>
                <w:szCs w:val="24"/>
                <w:shd w:val="clear" w:fill="FFFFFF"/>
                <w:lang w:val="ru-RU"/>
              </w:rPr>
              <w:t xml:space="preserve"> </w:t>
            </w: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lang w:val="ru-RU"/>
              </w:rPr>
              <w:t>(Фото автора)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 w:firstLineChars="0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i/>
          <w:iCs/>
          <w:sz w:val="28"/>
          <w:szCs w:val="28"/>
          <w:lang w:val="ru-RU"/>
        </w:rPr>
        <w:t>Назначение прибора: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b/>
          <w:bCs w:val="0"/>
          <w:i/>
          <w:iCs/>
          <w:sz w:val="28"/>
          <w:szCs w:val="28"/>
          <w:lang w:val="ru-RU"/>
        </w:rPr>
        <w:t>D2 PHASER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применяется для решения большинства задач порошковой рентгенографии: качественного и количественного фазового анализа, определения параметров элементарной ячейки, определения размеров кристаллитов, степени кристалличности, микронапряжений. Дифрактометр построен по схеме вертикальной геометрии Брэгга-Брентано и состоит из ультракомпактного гониометра, рентгеновской трубки, высоковольтного генератора, систем формирования рентгеновского пучка и высокоскоростного полупроводникового детектора </w:t>
      </w:r>
      <w:r>
        <w:rPr>
          <w:rFonts w:hint="default" w:ascii="Times New Roman" w:hAnsi="Times New Roman"/>
          <w:b w:val="0"/>
          <w:bCs/>
          <w:sz w:val="28"/>
          <w:szCs w:val="28"/>
          <w:lang w:val="en-US"/>
        </w:rPr>
        <w:t>[9]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. 0,1 г измельченного в порошок образца помещается на плоский прободержатель для исследования.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 w:firstLineChars="0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 w:val="0"/>
          <w:i/>
          <w:iCs/>
          <w:sz w:val="28"/>
          <w:szCs w:val="28"/>
          <w:lang w:val="ru-RU"/>
        </w:rPr>
        <w:t>Спектрометр Спектроскан Макс-GV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предназначен для определения содержания химических элементов в различных веществах, находящихся в твердом, порошкообразном или растворенном состояниях, а также нанесенных на поверхности и осажденных на фильтры. Спектрометр может применяться в различных отраслях науки и техники для анализа элементного состава вещества</w:t>
      </w:r>
      <w:r>
        <w:rPr>
          <w:rFonts w:hint="default" w:ascii="Times New Roman" w:hAnsi="Times New Roman"/>
          <w:b w:val="0"/>
          <w:bCs/>
          <w:sz w:val="28"/>
          <w:szCs w:val="28"/>
          <w:lang w:val="en-US"/>
        </w:rPr>
        <w:t xml:space="preserve"> [9]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 w:firstLineChars="0"/>
        <w:jc w:val="both"/>
        <w:textAlignment w:val="auto"/>
        <w:rPr>
          <w:rFonts w:hint="default" w:ascii="Times New Roman" w:hAnsi="Times New Roman"/>
          <w:b/>
          <w:bCs w:val="0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 w:val="0"/>
          <w:sz w:val="28"/>
          <w:szCs w:val="28"/>
          <w:lang w:val="ru-RU"/>
        </w:rPr>
        <w:t>2.2.5 Научная обработка собранного материала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 w:firstLineChars="0"/>
        <w:jc w:val="both"/>
        <w:textAlignment w:val="auto"/>
        <w:rPr>
          <w:rFonts w:hint="default" w:ascii="Times New Roman" w:hAnsi="Times New Roman"/>
          <w:b w:val="0"/>
          <w:bCs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Научная обработка материала проводится с целью всестороннего изучения объектов исследования, их таксономического определения (то есть классификация и определение положения в системе). Однако нередко для расположения организмов в систему приходится создавать искусственные классификации, поскольку из-за неполноты </w:t>
      </w: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 xml:space="preserve">сохранности эти остатки невозможно сопоставить с живущими формами и соответственно определить их место в системе.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 w:firstLineChars="0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Во время камеральной обработке для классификации исследуемых брахиопод необходимо описать основные внешние признаки, такие как: форма раковины, соотношение створок, скульптура раковин (табл.4, рис.11).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right"/>
        <w:textAlignment w:val="auto"/>
        <w:rPr>
          <w:rFonts w:ascii="Times New Roman" w:hAnsi="Times New Roman" w:eastAsia="Calibri" w:cs="Times New Roman"/>
          <w:sz w:val="28"/>
          <w:szCs w:val="28"/>
          <w:lang w:val="en-US"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Таблица </w:t>
      </w:r>
      <w:r>
        <w:rPr>
          <w:rFonts w:ascii="Times New Roman" w:hAnsi="Times New Roman" w:eastAsia="Calibri" w:cs="Times New Roman"/>
          <w:sz w:val="28"/>
          <w:szCs w:val="28"/>
          <w:lang w:val="en-US" w:eastAsia="en-US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center"/>
        <w:textAlignment w:val="auto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>Элементы наружного строения раковины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74"/>
        <w:gridCol w:w="96"/>
        <w:gridCol w:w="346"/>
        <w:gridCol w:w="1781"/>
        <w:gridCol w:w="136"/>
        <w:gridCol w:w="1330"/>
        <w:gridCol w:w="298"/>
        <w:gridCol w:w="2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571" w:type="dxa"/>
            <w:gridSpan w:val="8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Соотношение створок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8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hAnsi="Calibri" w:eastAsia="Calibri"/>
                <w:sz w:val="22"/>
                <w:szCs w:val="22"/>
                <w:lang w:eastAsia="ru-RU"/>
              </w:rPr>
              <w:drawing>
                <wp:inline distT="0" distB="0" distL="0" distR="0">
                  <wp:extent cx="4418330" cy="874395"/>
                  <wp:effectExtent l="0" t="0" r="1270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30401" t="53094" r="28808" b="32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8330" cy="87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8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С – спинная, б – брюшная створки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8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Формы переднего края раковины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8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hAnsi="Calibri" w:eastAsia="Calibri"/>
                <w:sz w:val="22"/>
                <w:szCs w:val="22"/>
                <w:lang w:eastAsia="ru-RU"/>
              </w:rPr>
              <w:drawing>
                <wp:inline distT="0" distB="0" distL="0" distR="0">
                  <wp:extent cx="2767330" cy="740410"/>
                  <wp:effectExtent l="0" t="0" r="6350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30914" t="46491" r="28295" b="34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330" cy="740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16" w:type="dxa"/>
            <w:gridSpan w:val="3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А - прямой</w:t>
            </w:r>
          </w:p>
        </w:tc>
        <w:tc>
          <w:tcPr>
            <w:tcW w:w="3247" w:type="dxa"/>
            <w:gridSpan w:val="3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Б - односкладчатый</w:t>
            </w:r>
          </w:p>
        </w:tc>
        <w:tc>
          <w:tcPr>
            <w:tcW w:w="2608" w:type="dxa"/>
            <w:gridSpan w:val="2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В - двускладчатый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8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Скульптура раковины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8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hAnsi="Calibri" w:eastAsia="Calibri"/>
                <w:sz w:val="22"/>
                <w:szCs w:val="22"/>
                <w:lang w:eastAsia="ru-RU"/>
              </w:rPr>
              <w:drawing>
                <wp:inline distT="0" distB="0" distL="0" distR="0">
                  <wp:extent cx="2830195" cy="805815"/>
                  <wp:effectExtent l="0" t="0" r="4445" b="190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5911" t="49603" r="25217" b="25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805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А – простые ребра</w:t>
            </w:r>
          </w:p>
        </w:tc>
        <w:tc>
          <w:tcPr>
            <w:tcW w:w="2223" w:type="dxa"/>
            <w:gridSpan w:val="3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Б – вставные ребра</w:t>
            </w:r>
          </w:p>
        </w:tc>
        <w:tc>
          <w:tcPr>
            <w:tcW w:w="4074" w:type="dxa"/>
            <w:gridSpan w:val="4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В – дихотомирующие ребра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8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en-US"/>
              </w:rPr>
              <w:t>Габариты раковины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  <w:gridSpan w:val="2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right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596390" cy="969010"/>
                  <wp:effectExtent l="0" t="0" r="3810" b="63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969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gridSpan w:val="3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hAnsi="Calibri" w:eastAsia="Calibri"/>
                <w:sz w:val="22"/>
                <w:szCs w:val="22"/>
                <w:lang w:eastAsia="ru-RU"/>
              </w:rPr>
              <w:drawing>
                <wp:inline distT="0" distB="0" distL="0" distR="0">
                  <wp:extent cx="1324610" cy="767715"/>
                  <wp:effectExtent l="0" t="0" r="127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3089" t="20296" r="48819" b="50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767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8" w:type="dxa"/>
            <w:gridSpan w:val="2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hAnsi="Calibri" w:eastAsia="Calibri"/>
                <w:sz w:val="22"/>
                <w:szCs w:val="22"/>
                <w:lang w:eastAsia="ru-RU"/>
              </w:rPr>
              <w:drawing>
                <wp:inline distT="0" distB="0" distL="0" distR="0">
                  <wp:extent cx="867410" cy="949960"/>
                  <wp:effectExtent l="0" t="0" r="1270" b="1016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8733" t="47890" r="52411" b="15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0" cy="949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hAnsi="Calibri" w:eastAsia="Calibri"/>
                <w:sz w:val="22"/>
                <w:szCs w:val="22"/>
                <w:lang w:eastAsia="ru-RU"/>
              </w:rPr>
              <w:drawing>
                <wp:inline distT="0" distB="0" distL="0" distR="0">
                  <wp:extent cx="656590" cy="964565"/>
                  <wp:effectExtent l="0" t="0" r="13970" b="1079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63880" t="27138" r="22395" b="37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964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3" w:type="dxa"/>
            <w:gridSpan w:val="5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1628" w:type="dxa"/>
            <w:gridSpan w:val="2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толщина</w:t>
            </w:r>
          </w:p>
        </w:tc>
        <w:tc>
          <w:tcPr>
            <w:tcW w:w="231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  <w:t>длина</w:t>
            </w:r>
          </w:p>
        </w:tc>
      </w:tr>
    </w:tbl>
    <w:p>
      <w:pPr>
        <w:numPr>
          <w:ilvl w:val="0"/>
          <w:numId w:val="0"/>
        </w:numPr>
        <w:spacing w:before="0" w:beforeAutospacing="0" w:after="0" w:afterAutospacing="0" w:line="276" w:lineRule="auto"/>
        <w:jc w:val="center"/>
      </w:pPr>
    </w:p>
    <w:p>
      <w:pPr>
        <w:numPr>
          <w:ilvl w:val="0"/>
          <w:numId w:val="0"/>
        </w:numPr>
        <w:spacing w:before="0" w:beforeAutospacing="0" w:after="0" w:afterAutospacing="0" w:line="276" w:lineRule="auto"/>
        <w:jc w:val="center"/>
      </w:pPr>
      <w:r>
        <w:drawing>
          <wp:inline distT="0" distB="0" distL="114300" distR="114300">
            <wp:extent cx="2292985" cy="3282950"/>
            <wp:effectExtent l="0" t="0" r="8255" b="889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09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76" w:lineRule="auto"/>
        <w:jc w:val="center"/>
        <w:textAlignment w:val="auto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hint="default" w:ascii="Times New Roman" w:hAnsi="Times New Roman" w:cs="Times New Roman"/>
          <w:lang w:val="ru-RU"/>
        </w:rPr>
        <w:t xml:space="preserve">Рисунок 11. Камеральная обработка фоссилий (Фото Бердановой Е.И.) </w:t>
      </w: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br w:type="page"/>
      </w: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>Глава III</w:t>
      </w: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ab/>
      </w: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>РЕЗУЛЬТАТЫ ИССЛЕДОВАНИЯ</w:t>
      </w:r>
    </w:p>
    <w:p>
      <w:pPr>
        <w:numPr>
          <w:ilvl w:val="0"/>
          <w:numId w:val="0"/>
        </w:numPr>
        <w:spacing w:before="0" w:beforeAutospacing="0" w:after="0" w:afterAutospacing="0" w:line="276" w:lineRule="auto"/>
        <w:ind w:firstLine="708" w:firstLineChars="0"/>
        <w:jc w:val="both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ascii="Times New Roman" w:hAnsi="Times New Roman" w:eastAsia="Calibri"/>
          <w:sz w:val="28"/>
          <w:szCs w:val="28"/>
        </w:rPr>
        <w:t xml:space="preserve">Пробоотбор проводился в сентябре, октябре 2022 года в районе с. Белая Речка в верховье реки Нальчик, </w:t>
      </w:r>
      <w:r>
        <w:rPr>
          <w:rFonts w:ascii="Times New Roman" w:hAnsi="Times New Roman" w:eastAsia="Calibri"/>
          <w:sz w:val="28"/>
          <w:szCs w:val="28"/>
          <w:lang w:val="ru-RU"/>
        </w:rPr>
        <w:t>в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 пойме </w:t>
      </w:r>
      <w:r>
        <w:rPr>
          <w:rFonts w:ascii="Times New Roman" w:hAnsi="Times New Roman" w:eastAsia="Calibri"/>
          <w:sz w:val="28"/>
          <w:szCs w:val="28"/>
        </w:rPr>
        <w:t>ее прав</w:t>
      </w:r>
      <w:r>
        <w:rPr>
          <w:rFonts w:ascii="Times New Roman" w:hAnsi="Times New Roman" w:eastAsia="Calibri"/>
          <w:sz w:val="28"/>
          <w:szCs w:val="28"/>
          <w:lang w:val="ru-RU"/>
        </w:rPr>
        <w:t>ого</w:t>
      </w:r>
      <w:r>
        <w:rPr>
          <w:rFonts w:ascii="Times New Roman" w:hAnsi="Times New Roman" w:eastAsia="Calibri"/>
          <w:sz w:val="28"/>
          <w:szCs w:val="28"/>
        </w:rPr>
        <w:t xml:space="preserve"> приток</w:t>
      </w:r>
      <w:r>
        <w:rPr>
          <w:rFonts w:ascii="Times New Roman" w:hAnsi="Times New Roman" w:eastAsia="Calibri"/>
          <w:sz w:val="28"/>
          <w:szCs w:val="28"/>
          <w:lang w:val="ru-RU"/>
        </w:rPr>
        <w:t>а</w:t>
      </w:r>
      <w:r>
        <w:rPr>
          <w:rFonts w:ascii="Times New Roman" w:hAnsi="Times New Roman" w:eastAsia="Calibri"/>
          <w:sz w:val="28"/>
          <w:szCs w:val="28"/>
        </w:rPr>
        <w:t xml:space="preserve"> – рек</w:t>
      </w:r>
      <w:r>
        <w:rPr>
          <w:rFonts w:ascii="Times New Roman" w:hAnsi="Times New Roman" w:eastAsia="Calibri"/>
          <w:sz w:val="28"/>
          <w:szCs w:val="28"/>
          <w:lang w:val="ru-RU"/>
        </w:rPr>
        <w:t>и</w:t>
      </w:r>
      <w:r>
        <w:rPr>
          <w:rFonts w:ascii="Times New Roman" w:hAnsi="Times New Roman" w:eastAsia="Calibri"/>
          <w:sz w:val="28"/>
          <w:szCs w:val="28"/>
        </w:rPr>
        <w:t xml:space="preserve"> Белой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 (рис.12).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</w:t>
      </w:r>
    </w:p>
    <w:p>
      <w:pPr>
        <w:numPr>
          <w:ilvl w:val="0"/>
          <w:numId w:val="0"/>
        </w:numPr>
        <w:spacing w:before="0" w:beforeAutospacing="0" w:after="0" w:afterAutospacing="0" w:line="276" w:lineRule="auto"/>
        <w:jc w:val="center"/>
        <w:rPr>
          <w:rFonts w:hint="default" w:ascii="Times New Roman" w:hAnsi="Times New Roman"/>
          <w:b w:val="0"/>
          <w:bCs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3450590" cy="2227580"/>
            <wp:effectExtent l="0" t="0" r="8890" b="12700"/>
            <wp:docPr id="10" name="Изображение 10" descr="гибри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гибрид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0" w:beforeAutospacing="0" w:after="0" w:afterAutospacing="0" w:line="276" w:lineRule="auto"/>
        <w:jc w:val="center"/>
        <w:rPr>
          <w:rFonts w:hint="default" w:ascii="Times New Roman" w:hAnsi="Times New Roman"/>
          <w:b w:val="0"/>
          <w:bCs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>Рисунок 12. Река Белая - правый приток реки Нальчик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 w:firstLineChars="0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Пробы отбирали в естественных обнажениях осадочных пород вдоль берега реки, а также способом простого сбора фоссилий с поверхности земли.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 w:firstLineChars="0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Во время экспедиций была собрана коллекция окаменелостей (Рис. 13).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5"/>
        <w:gridCol w:w="38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5685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76" w:lineRule="auto"/>
              <w:ind w:left="0" w:right="0"/>
              <w:jc w:val="righ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drawing>
                <wp:inline distT="0" distB="0" distL="114300" distR="114300">
                  <wp:extent cx="2891155" cy="1244600"/>
                  <wp:effectExtent l="0" t="0" r="4445" b="5080"/>
                  <wp:docPr id="9" name="Изображение 9" descr="БРАХ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9" descr="БРАХИ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15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а</w:t>
            </w:r>
          </w:p>
        </w:tc>
        <w:tc>
          <w:tcPr>
            <w:tcW w:w="3886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76" w:lineRule="auto"/>
              <w:ind w:left="0" w:right="0"/>
              <w:jc w:val="left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drawing>
                <wp:inline distT="0" distB="0" distL="114300" distR="114300">
                  <wp:extent cx="1840865" cy="1256665"/>
                  <wp:effectExtent l="0" t="0" r="3175" b="8255"/>
                  <wp:docPr id="14" name="Изображение 14" descr="позвоноч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14" descr="позвоночный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vertAlign w:val="baseline"/>
                <w:lang w:val="ru-RU"/>
              </w:rPr>
              <w:t>Рисунок 13. Коллекция окаменелостей: а) брахиоподы, б) «неизвестное» (Фото автора)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ab/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Так как в пробоотборах преобладали брахиоподы, на первом этапе исследовательской работы мы ограничились таксометрической характеристикой именно этих окаменелостей.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ab/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Для классификации объектов использовались палеонтологические определители (ключи) </w:t>
      </w:r>
      <w:r>
        <w:rPr>
          <w:rFonts w:hint="default" w:ascii="Times New Roman" w:hAnsi="Times New Roman"/>
          <w:b w:val="0"/>
          <w:bCs/>
          <w:sz w:val="28"/>
          <w:szCs w:val="28"/>
          <w:lang w:val="en-US"/>
        </w:rPr>
        <w:t>[10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,1</w:t>
      </w:r>
      <w:r>
        <w:rPr>
          <w:rFonts w:hint="default" w:ascii="Times New Roman" w:hAnsi="Times New Roman"/>
          <w:b w:val="0"/>
          <w:bCs/>
          <w:sz w:val="28"/>
          <w:szCs w:val="28"/>
          <w:lang w:val="en-US"/>
        </w:rPr>
        <w:t>1]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. Для уточнения статуса исследуемых объектов была проведена консультация у специалиста в области палеонтологии с целью подтверждения или опровержения правильности определения фоссилий, а именно – у Шамариной Марины Анатольевны, заместителя заведующего музеем живой природы, отдела геологии НОЦ «Ботанический сад» КБГУ. Результаты научной обработки собранного материала представлены в таблице 5.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right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Таблица 5.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center"/>
        <w:textAlignment w:val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Систематика исследуемых брахиопод Brachiopoda Articulata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124"/>
        <w:gridCol w:w="3140"/>
        <w:gridCol w:w="3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09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</w:rPr>
            </w:pPr>
          </w:p>
        </w:tc>
        <w:tc>
          <w:tcPr>
            <w:tcW w:w="321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</w:rPr>
            </w:pPr>
          </w:p>
        </w:tc>
        <w:tc>
          <w:tcPr>
            <w:tcW w:w="3209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Геологический возраст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09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Царство</w:t>
            </w:r>
          </w:p>
        </w:tc>
        <w:tc>
          <w:tcPr>
            <w:tcW w:w="321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  <w:lang w:val="en-US"/>
              </w:rPr>
            </w:pPr>
            <w:r>
              <w:rPr>
                <w:rFonts w:ascii="Times New Roman" w:hAnsi="Times New Roman" w:eastAsia="Calibri"/>
              </w:rPr>
              <w:t>Животные (</w:t>
            </w:r>
            <w:r>
              <w:rPr>
                <w:rFonts w:ascii="Times New Roman" w:hAnsi="Times New Roman" w:eastAsia="Calibri"/>
                <w:i/>
                <w:lang w:val="en-US"/>
              </w:rPr>
              <w:t>Animalia</w:t>
            </w:r>
            <w:r>
              <w:rPr>
                <w:rFonts w:ascii="Times New Roman" w:hAnsi="Times New Roman" w:eastAsia="Calibri"/>
                <w:lang w:val="en-US"/>
              </w:rPr>
              <w:t>)</w:t>
            </w:r>
          </w:p>
        </w:tc>
        <w:tc>
          <w:tcPr>
            <w:tcW w:w="3209" w:type="dxa"/>
            <w:vMerge w:val="restar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97" w:right="0"/>
              <w:jc w:val="both"/>
              <w:rPr>
                <w:rFonts w:ascii="Times New Roman" w:hAnsi="Times New Roman" w:eastAsia="Calibri"/>
                <w:lang w:val="en-US"/>
              </w:rPr>
            </w:pPr>
            <w:r>
              <w:rPr>
                <w:rFonts w:ascii="Times New Roman" w:hAnsi="Times New Roman" w:eastAsia="Calibri"/>
              </w:rPr>
              <w:t>Мезозойская</w:t>
            </w:r>
            <w:r>
              <w:rPr>
                <w:rFonts w:ascii="Times New Roman" w:hAnsi="Times New Roman" w:eastAsia="Calibri"/>
                <w:lang w:val="en-US"/>
              </w:rPr>
              <w:t xml:space="preserve"> </w:t>
            </w:r>
            <w:r>
              <w:rPr>
                <w:rFonts w:ascii="Times New Roman" w:hAnsi="Times New Roman" w:eastAsia="Calibri"/>
              </w:rPr>
              <w:t>эра</w:t>
            </w:r>
            <w:r>
              <w:rPr>
                <w:rFonts w:ascii="Times New Roman" w:hAnsi="Times New Roman" w:eastAsia="Calibri"/>
                <w:lang w:val="en-US"/>
              </w:rPr>
              <w:t xml:space="preserve">, </w:t>
            </w:r>
            <w:r>
              <w:rPr>
                <w:rFonts w:ascii="Times New Roman" w:hAnsi="Times New Roman" w:eastAsia="Calibri"/>
              </w:rPr>
              <w:t>меловой</w:t>
            </w:r>
            <w:r>
              <w:rPr>
                <w:rFonts w:ascii="Times New Roman" w:hAnsi="Times New Roman" w:eastAsia="Calibri"/>
                <w:lang w:val="en-US"/>
              </w:rPr>
              <w:t xml:space="preserve"> </w:t>
            </w:r>
            <w:r>
              <w:rPr>
                <w:rFonts w:ascii="Times New Roman" w:hAnsi="Times New Roman" w:eastAsia="Calibri"/>
              </w:rPr>
              <w:t>период</w:t>
            </w:r>
            <w:r>
              <w:rPr>
                <w:rFonts w:ascii="Times New Roman" w:hAnsi="Times New Roman" w:eastAsia="Calibri"/>
                <w:lang w:val="en-US"/>
              </w:rPr>
              <w:t xml:space="preserve">, </w:t>
            </w:r>
            <w:r>
              <w:rPr>
                <w:rFonts w:ascii="Times New Roman" w:hAnsi="Times New Roman" w:eastAsia="Calibri"/>
              </w:rPr>
              <w:t>нижний</w:t>
            </w:r>
            <w:r>
              <w:rPr>
                <w:rFonts w:ascii="Times New Roman" w:hAnsi="Times New Roman" w:eastAsia="Calibri"/>
                <w:lang w:val="en-US"/>
              </w:rPr>
              <w:t xml:space="preserve"> </w:t>
            </w:r>
            <w:r>
              <w:rPr>
                <w:rFonts w:ascii="Times New Roman" w:hAnsi="Times New Roman" w:eastAsia="Calibri"/>
              </w:rPr>
              <w:t>отдел</w:t>
            </w:r>
            <w:r>
              <w:rPr>
                <w:rFonts w:ascii="Times New Roman" w:hAnsi="Times New Roman" w:eastAsia="Calibri"/>
                <w:lang w:val="en-US"/>
              </w:rPr>
              <w:t xml:space="preserve"> (</w:t>
            </w:r>
            <w:r>
              <w:rPr>
                <w:rFonts w:ascii="Times New Roman" w:hAnsi="Times New Roman" w:eastAsia="Calibri"/>
              </w:rPr>
              <w:t>эпох</w:t>
            </w:r>
            <w:r>
              <w:rPr>
                <w:rFonts w:ascii="Times New Roman" w:hAnsi="Times New Roman" w:eastAsia="Calibri"/>
                <w:lang w:val="en-US"/>
              </w:rPr>
              <w:t xml:space="preserve">), </w:t>
            </w:r>
            <w:r>
              <w:rPr>
                <w:rFonts w:ascii="Times New Roman" w:hAnsi="Times New Roman" w:eastAsia="Calibri"/>
              </w:rPr>
              <w:t>ярус</w:t>
            </w:r>
            <w:r>
              <w:rPr>
                <w:rFonts w:ascii="Times New Roman" w:hAnsi="Times New Roman" w:eastAsia="Calibri"/>
                <w:lang w:val="en-US"/>
              </w:rPr>
              <w:t xml:space="preserve"> (</w:t>
            </w:r>
            <w:r>
              <w:rPr>
                <w:rFonts w:ascii="Times New Roman" w:hAnsi="Times New Roman" w:eastAsia="Calibri"/>
              </w:rPr>
              <w:t>век</w:t>
            </w:r>
            <w:r>
              <w:rPr>
                <w:rFonts w:ascii="Times New Roman" w:hAnsi="Times New Roman" w:eastAsia="Calibri"/>
                <w:lang w:val="en-US"/>
              </w:rPr>
              <w:t xml:space="preserve">) </w:t>
            </w:r>
            <w:r>
              <w:rPr>
                <w:rFonts w:ascii="Times New Roman" w:hAnsi="Times New Roman" w:eastAsia="Calibri"/>
              </w:rPr>
              <w:t>валанжинский</w:t>
            </w:r>
            <w:r>
              <w:rPr>
                <w:rFonts w:ascii="Times New Roman" w:hAnsi="Times New Roman" w:eastAsia="Calibri"/>
                <w:lang w:val="en-US"/>
              </w:rPr>
              <w:t xml:space="preserve"> (139,8 -132,9 </w:t>
            </w:r>
            <w:r>
              <w:rPr>
                <w:rFonts w:ascii="Times New Roman" w:hAnsi="Times New Roman" w:eastAsia="Calibri"/>
              </w:rPr>
              <w:t>млн</w:t>
            </w:r>
            <w:r>
              <w:rPr>
                <w:rFonts w:ascii="Times New Roman" w:hAnsi="Times New Roman" w:eastAsia="Calibri"/>
                <w:lang w:val="en-US"/>
              </w:rPr>
              <w:t xml:space="preserve">. </w:t>
            </w:r>
            <w:r>
              <w:rPr>
                <w:rFonts w:ascii="Times New Roman" w:hAnsi="Times New Roman" w:eastAsia="Calibri"/>
              </w:rPr>
              <w:t>лет</w:t>
            </w:r>
            <w:r>
              <w:rPr>
                <w:rFonts w:ascii="Times New Roman" w:hAnsi="Times New Roman" w:eastAsia="Calibri"/>
                <w:lang w:val="en-US"/>
              </w:rPr>
              <w:t xml:space="preserve"> </w:t>
            </w:r>
            <w:r>
              <w:rPr>
                <w:rFonts w:ascii="Times New Roman" w:hAnsi="Times New Roman" w:eastAsia="Calibri"/>
              </w:rPr>
              <w:t>назад</w:t>
            </w:r>
            <w:r>
              <w:rPr>
                <w:rFonts w:ascii="Times New Roman" w:hAnsi="Times New Roman" w:eastAsia="Calibri"/>
                <w:lang w:val="en-US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09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  <w:lang w:val="en-US"/>
              </w:rPr>
            </w:pPr>
            <w:r>
              <w:rPr>
                <w:rFonts w:ascii="Times New Roman" w:hAnsi="Times New Roman" w:eastAsia="Calibri"/>
              </w:rPr>
              <w:t>Тип</w:t>
            </w:r>
          </w:p>
        </w:tc>
        <w:tc>
          <w:tcPr>
            <w:tcW w:w="321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  <w:i/>
                <w:lang w:val="en-US"/>
              </w:rPr>
            </w:pPr>
            <w:r>
              <w:rPr>
                <w:rFonts w:ascii="Times New Roman" w:hAnsi="Times New Roman" w:eastAsia="Calibri"/>
                <w:i/>
                <w:lang w:val="en-US"/>
              </w:rPr>
              <w:t>Brachiopoda</w:t>
            </w:r>
          </w:p>
        </w:tc>
        <w:tc>
          <w:tcPr>
            <w:tcW w:w="320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09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  <w:lang w:val="en-US"/>
              </w:rPr>
            </w:pPr>
            <w:r>
              <w:rPr>
                <w:rFonts w:ascii="Times New Roman" w:hAnsi="Times New Roman" w:eastAsia="Calibri"/>
              </w:rPr>
              <w:t>Класс</w:t>
            </w:r>
          </w:p>
        </w:tc>
        <w:tc>
          <w:tcPr>
            <w:tcW w:w="321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  <w:lang w:val="en-US"/>
              </w:rPr>
            </w:pPr>
            <w:r>
              <w:rPr>
                <w:rFonts w:ascii="Times New Roman" w:hAnsi="Times New Roman" w:eastAsia="Calibri"/>
              </w:rPr>
              <w:t>Плеченогие</w:t>
            </w:r>
            <w:r>
              <w:rPr>
                <w:rFonts w:ascii="Times New Roman" w:hAnsi="Times New Roman" w:eastAsia="Calibri"/>
                <w:lang w:val="en-US"/>
              </w:rPr>
              <w:t xml:space="preserve"> (</w:t>
            </w:r>
            <w:r>
              <w:rPr>
                <w:rFonts w:ascii="Times New Roman" w:hAnsi="Times New Roman" w:eastAsia="Calibri"/>
                <w:i/>
                <w:lang w:val="en-US"/>
              </w:rPr>
              <w:t>Brachiopoda</w:t>
            </w:r>
            <w:r>
              <w:rPr>
                <w:rFonts w:ascii="Times New Roman" w:hAnsi="Times New Roman" w:eastAsia="Calibri"/>
                <w:lang w:val="en-US"/>
              </w:rPr>
              <w:t>)</w:t>
            </w:r>
          </w:p>
        </w:tc>
        <w:tc>
          <w:tcPr>
            <w:tcW w:w="320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09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  <w:lang w:val="en-US"/>
              </w:rPr>
            </w:pPr>
            <w:r>
              <w:rPr>
                <w:rFonts w:ascii="Times New Roman" w:hAnsi="Times New Roman" w:eastAsia="Calibri"/>
              </w:rPr>
              <w:t>Подкласс</w:t>
            </w:r>
            <w:r>
              <w:rPr>
                <w:rFonts w:ascii="Times New Roman" w:hAnsi="Times New Roman" w:eastAsia="Calibri"/>
                <w:lang w:val="en-US"/>
              </w:rPr>
              <w:t xml:space="preserve"> </w:t>
            </w:r>
          </w:p>
        </w:tc>
        <w:tc>
          <w:tcPr>
            <w:tcW w:w="321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  <w:lang w:val="en-US"/>
              </w:rPr>
            </w:pPr>
            <w:r>
              <w:rPr>
                <w:rFonts w:ascii="Times New Roman" w:hAnsi="Times New Roman" w:eastAsia="Calibri"/>
              </w:rPr>
              <w:t>Замковые</w:t>
            </w:r>
            <w:r>
              <w:rPr>
                <w:rFonts w:ascii="Times New Roman" w:hAnsi="Times New Roman" w:eastAsia="Calibri"/>
                <w:lang w:val="en-US"/>
              </w:rPr>
              <w:t xml:space="preserve"> (</w:t>
            </w:r>
            <w:r>
              <w:rPr>
                <w:rFonts w:ascii="Times New Roman" w:hAnsi="Times New Roman" w:eastAsia="Calibri"/>
                <w:i/>
                <w:lang w:val="en-US"/>
              </w:rPr>
              <w:t>Articulata</w:t>
            </w:r>
            <w:r>
              <w:rPr>
                <w:rFonts w:ascii="Times New Roman" w:hAnsi="Times New Roman" w:eastAsia="Calibri"/>
                <w:lang w:val="en-US"/>
              </w:rPr>
              <w:t>)</w:t>
            </w:r>
          </w:p>
        </w:tc>
        <w:tc>
          <w:tcPr>
            <w:tcW w:w="320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09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  <w:lang w:val="en-US"/>
              </w:rPr>
            </w:pPr>
            <w:r>
              <w:rPr>
                <w:rFonts w:ascii="Times New Roman" w:hAnsi="Times New Roman" w:eastAsia="Calibri"/>
              </w:rPr>
              <w:t>Отряд</w:t>
            </w:r>
          </w:p>
        </w:tc>
        <w:tc>
          <w:tcPr>
            <w:tcW w:w="321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  <w:i/>
                <w:lang w:val="en-US"/>
              </w:rPr>
            </w:pPr>
            <w:r>
              <w:rPr>
                <w:rFonts w:ascii="Times New Roman" w:hAnsi="Times New Roman" w:eastAsia="Calibri"/>
                <w:i/>
                <w:lang w:val="en-US"/>
              </w:rPr>
              <w:t>Rhynchonellida Moore</w:t>
            </w:r>
          </w:p>
        </w:tc>
        <w:tc>
          <w:tcPr>
            <w:tcW w:w="320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09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  <w:lang w:val="en-US"/>
              </w:rPr>
            </w:pPr>
            <w:r>
              <w:rPr>
                <w:rFonts w:ascii="Times New Roman" w:hAnsi="Times New Roman" w:eastAsia="Calibri"/>
              </w:rPr>
              <w:t>Подотряд</w:t>
            </w:r>
          </w:p>
        </w:tc>
        <w:tc>
          <w:tcPr>
            <w:tcW w:w="321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i/>
                <w:lang w:val="en-US"/>
              </w:rPr>
              <w:t>Rhynchonellidina</w:t>
            </w:r>
          </w:p>
        </w:tc>
        <w:tc>
          <w:tcPr>
            <w:tcW w:w="320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09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Надсемейство</w:t>
            </w:r>
          </w:p>
        </w:tc>
        <w:tc>
          <w:tcPr>
            <w:tcW w:w="321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  <w:i/>
                <w:lang w:val="en-US"/>
              </w:rPr>
            </w:pPr>
            <w:r>
              <w:rPr>
                <w:rFonts w:ascii="Times New Roman" w:hAnsi="Times New Roman" w:eastAsia="Calibri"/>
                <w:i/>
                <w:lang w:val="en-US"/>
              </w:rPr>
              <w:t>Rhynchonellid</w:t>
            </w:r>
            <w:r>
              <w:rPr>
                <w:rFonts w:ascii="Times New Roman" w:hAnsi="Times New Roman" w:eastAsia="Calibri"/>
                <w:i/>
              </w:rPr>
              <w:t>е</w:t>
            </w:r>
            <w:r>
              <w:rPr>
                <w:rFonts w:ascii="Times New Roman" w:hAnsi="Times New Roman" w:eastAsia="Calibri"/>
                <w:i/>
                <w:lang w:val="en-US"/>
              </w:rPr>
              <w:t>a</w:t>
            </w:r>
          </w:p>
        </w:tc>
        <w:tc>
          <w:tcPr>
            <w:tcW w:w="320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09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Семейство</w:t>
            </w:r>
          </w:p>
        </w:tc>
        <w:tc>
          <w:tcPr>
            <w:tcW w:w="321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  <w:i/>
                <w:lang w:val="en-US"/>
              </w:rPr>
            </w:pPr>
            <w:r>
              <w:rPr>
                <w:rFonts w:ascii="Times New Roman" w:hAnsi="Times New Roman" w:eastAsia="Calibri"/>
                <w:i/>
                <w:lang w:val="en-US"/>
              </w:rPr>
              <w:t>Rhynchonellida</w:t>
            </w:r>
            <w:r>
              <w:rPr>
                <w:rFonts w:ascii="Times New Roman" w:hAnsi="Times New Roman" w:eastAsia="Calibri"/>
                <w:i/>
              </w:rPr>
              <w:t>е</w:t>
            </w:r>
          </w:p>
        </w:tc>
        <w:tc>
          <w:tcPr>
            <w:tcW w:w="320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09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Подсемейство</w:t>
            </w:r>
          </w:p>
        </w:tc>
        <w:tc>
          <w:tcPr>
            <w:tcW w:w="321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  <w:i/>
                <w:lang w:val="en-US"/>
              </w:rPr>
            </w:pPr>
            <w:r>
              <w:rPr>
                <w:rFonts w:ascii="Times New Roman" w:hAnsi="Times New Roman" w:eastAsia="Calibri"/>
                <w:i/>
                <w:lang w:val="en-US"/>
              </w:rPr>
              <w:t>Praecyclothyrinae subfam.nov.</w:t>
            </w:r>
          </w:p>
        </w:tc>
        <w:tc>
          <w:tcPr>
            <w:tcW w:w="320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09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Род</w:t>
            </w:r>
          </w:p>
        </w:tc>
        <w:tc>
          <w:tcPr>
            <w:tcW w:w="321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  <w:i/>
                <w:lang w:val="en-US"/>
              </w:rPr>
            </w:pPr>
            <w:r>
              <w:rPr>
                <w:rFonts w:ascii="Times New Roman" w:hAnsi="Times New Roman" w:eastAsia="Calibri"/>
                <w:i/>
                <w:lang w:val="en-US"/>
              </w:rPr>
              <w:t>Mosquella Makridin</w:t>
            </w:r>
          </w:p>
        </w:tc>
        <w:tc>
          <w:tcPr>
            <w:tcW w:w="320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09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Вид</w:t>
            </w:r>
          </w:p>
        </w:tc>
        <w:tc>
          <w:tcPr>
            <w:tcW w:w="321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  <w:i/>
                <w:lang w:val="en-US"/>
              </w:rPr>
            </w:pPr>
            <w:r>
              <w:rPr>
                <w:rFonts w:ascii="Times New Roman" w:hAnsi="Times New Roman" w:eastAsia="Calibri"/>
                <w:i/>
                <w:lang w:val="en-US"/>
              </w:rPr>
              <w:t>Mosquella oxyoptyha</w:t>
            </w:r>
          </w:p>
        </w:tc>
        <w:tc>
          <w:tcPr>
            <w:tcW w:w="3209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ascii="Times New Roman" w:hAnsi="Times New Roman" w:eastAsia="Calibri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>Зная геологическую составляющую места исследования, мы могли предположить, что руководящими формами, т. е. остатками организмов, выступающими в роли индикаторов возраста или брахиоподы, или двустворчатые, «судьбы» которых переплелись в ходе исторического развития.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В раннем палеозое (около 400 млн лет назад) господствующей группой фильтраторов в океанах были брахиоподы. К этому периоду относится около 12 тысяч их ископаемых видов. Ко времени массового пермского вымирания брахиоподы потеряли 95% их видового разнообразия, в то время как двустворчатые достигли большого разнообразия.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>Некоторые учёные считают, что способность двустворчатых зарываться в грунт для спасения от хищников являлась ключевым фактором их выживания. Новые адаптации позволили двустворчатым освоить новые экологические ниши. К таким приспособлениям относят способность к плаванию, хищнический образ жизни и другие. Эти две группы животных описываются в учебниках как пример двух таксонов, один из которых оказался конкурентоспособнее другого и вытеснил его. Превосходство двустворчатых над брахиоподами объясняется более успешным прохождением первыми массового вымирания.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hint="default" w:ascii="Times New Roman" w:hAnsi="Times New Roman" w:eastAsia="Calibri"/>
          <w:sz w:val="28"/>
          <w:szCs w:val="28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>В</w:t>
      </w:r>
      <w:r>
        <w:rPr>
          <w:rFonts w:hint="default" w:ascii="Times New Roman" w:hAnsi="Times New Roman" w:eastAsia="Calibri"/>
          <w:sz w:val="28"/>
          <w:szCs w:val="28"/>
        </w:rPr>
        <w:t xml:space="preserve"> лаборатории «Рентгендиагностика материала»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Calibri"/>
          <w:sz w:val="28"/>
          <w:szCs w:val="28"/>
        </w:rPr>
        <w:t>Центр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>а</w:t>
      </w:r>
      <w:r>
        <w:rPr>
          <w:rFonts w:hint="default" w:ascii="Times New Roman" w:hAnsi="Times New Roman" w:eastAsia="Calibri"/>
          <w:sz w:val="28"/>
          <w:szCs w:val="28"/>
        </w:rPr>
        <w:t xml:space="preserve"> коллективного пользования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Calibri"/>
          <w:sz w:val="28"/>
          <w:szCs w:val="28"/>
        </w:rPr>
        <w:t>был проведён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 х</w:t>
      </w:r>
      <w:r>
        <w:rPr>
          <w:rFonts w:hint="default" w:ascii="Times New Roman" w:hAnsi="Times New Roman" w:eastAsia="Calibri"/>
          <w:sz w:val="28"/>
          <w:szCs w:val="28"/>
        </w:rPr>
        <w:t xml:space="preserve">имический качественный анализ объектов на аппаратах Spectroscan MAKC - GV и D2-Phaser 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методом </w:t>
      </w:r>
      <w:r>
        <w:rPr>
          <w:rFonts w:hint="default" w:ascii="Times New Roman" w:hAnsi="Times New Roman" w:eastAsia="Calibri"/>
          <w:sz w:val="28"/>
          <w:szCs w:val="28"/>
        </w:rPr>
        <w:t>Рентгеновской спектроскопии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 (рис.14,15)</w:t>
      </w:r>
      <w:r>
        <w:rPr>
          <w:rFonts w:hint="default" w:ascii="Times New Roman" w:hAnsi="Times New Roman" w:eastAsia="Calibri"/>
          <w:sz w:val="28"/>
          <w:szCs w:val="28"/>
        </w:rPr>
        <w:t>.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76" w:lineRule="auto"/>
              <w:ind w:left="0" w:right="0"/>
              <w:jc w:val="right"/>
              <w:textAlignment w:val="auto"/>
              <w:rPr>
                <w:rFonts w:hint="default" w:ascii="Times New Roman" w:hAnsi="Times New Roman" w:eastAsia="Calibri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vertAlign w:val="baseline"/>
                <w:lang w:val="ru-RU"/>
              </w:rPr>
              <w:drawing>
                <wp:inline distT="0" distB="0" distL="114300" distR="114300">
                  <wp:extent cx="2047240" cy="2729865"/>
                  <wp:effectExtent l="0" t="0" r="10160" b="13335"/>
                  <wp:docPr id="20" name="Изображение 20" descr="8de327c9-a66a-4b87-bd34-478c3c3de3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20" descr="8de327c9-a66a-4b87-bd34-478c3c3de38e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272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76" w:lineRule="auto"/>
              <w:ind w:left="0" w:right="0"/>
              <w:jc w:val="both"/>
              <w:textAlignment w:val="auto"/>
              <w:rPr>
                <w:rFonts w:hint="default" w:ascii="Times New Roman" w:hAnsi="Times New Roman" w:eastAsia="Calibri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vertAlign w:val="baseline"/>
                <w:lang w:val="ru-RU"/>
              </w:rPr>
              <w:drawing>
                <wp:inline distT="0" distB="0" distL="114300" distR="114300">
                  <wp:extent cx="2059305" cy="2746375"/>
                  <wp:effectExtent l="0" t="0" r="13335" b="12065"/>
                  <wp:docPr id="21" name="Изображение 21" descr="7eb921c0-02e6-4927-9c45-5af22212d9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21" descr="7eb921c0-02e6-4927-9c45-5af22212d95c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05" cy="274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eastAsia="Calibri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vertAlign w:val="baseline"/>
                <w:lang w:val="ru-RU"/>
              </w:rPr>
              <w:t xml:space="preserve">Рисунок 14 Работа на </w:t>
            </w:r>
            <w:r>
              <w:rPr>
                <w:rFonts w:hint="default" w:ascii="Times New Roman" w:hAnsi="Times New Roman" w:eastAsia="Calibri"/>
                <w:sz w:val="24"/>
                <w:szCs w:val="24"/>
              </w:rPr>
              <w:t>аппарат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е</w:t>
            </w:r>
            <w:r>
              <w:rPr>
                <w:rFonts w:hint="default" w:ascii="Times New Roman" w:hAnsi="Times New Roman" w:eastAsia="Calibri"/>
                <w:sz w:val="24"/>
                <w:szCs w:val="24"/>
              </w:rPr>
              <w:t xml:space="preserve"> Spectroscan MAKC - GV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(Фото Бердановой Е.И.)</w:t>
            </w:r>
          </w:p>
        </w:tc>
        <w:tc>
          <w:tcPr>
            <w:tcW w:w="4786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default" w:ascii="Times New Roman" w:hAnsi="Times New Roman" w:eastAsia="Calibri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vertAlign w:val="baseline"/>
                <w:lang w:val="ru-RU"/>
              </w:rPr>
              <w:t xml:space="preserve">Рисунок 15 Работа на </w:t>
            </w:r>
            <w:r>
              <w:rPr>
                <w:rFonts w:hint="default" w:ascii="Times New Roman" w:hAnsi="Times New Roman" w:eastAsia="Calibri"/>
                <w:sz w:val="24"/>
                <w:szCs w:val="24"/>
              </w:rPr>
              <w:t>аппарат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е</w:t>
            </w:r>
            <w:r>
              <w:rPr>
                <w:rFonts w:hint="default" w:ascii="Times New Roman" w:hAnsi="Times New Roman" w:eastAsia="Calibri"/>
                <w:sz w:val="24"/>
                <w:szCs w:val="24"/>
              </w:rPr>
              <w:t xml:space="preserve"> D2-Phaser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(Фото Бердановой Е.И.)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ab/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Результаты исследования представлены в таблице 6, рис.16.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/>
        <w:jc w:val="center"/>
        <w:textAlignment w:val="auto"/>
      </w:pPr>
      <w:r>
        <w:drawing>
          <wp:inline distT="0" distB="0" distL="114300" distR="114300">
            <wp:extent cx="4281170" cy="2503805"/>
            <wp:effectExtent l="0" t="0" r="1270" b="10795"/>
            <wp:docPr id="3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Рисунок 16. </w:t>
      </w:r>
      <w:r>
        <w:rPr>
          <w:rFonts w:hint="default" w:ascii="Times New Roman" w:hAnsi="Times New Roman" w:eastAsia="mn-ea" w:cs="Times New Roman"/>
          <w:color w:val="000000"/>
          <w:kern w:val="24"/>
          <w:sz w:val="24"/>
          <w:szCs w:val="24"/>
        </w:rPr>
        <w:t>Рентгеновская дифрактограмма образцов, собранных в районе р.Белая</w:t>
      </w:r>
      <w:r>
        <w:rPr>
          <w:rFonts w:hint="default" w:ascii="Times New Roman" w:hAnsi="Times New Roman" w:eastAsia="mn-ea" w:cs="Times New Roman"/>
          <w:color w:val="000000"/>
          <w:kern w:val="24"/>
          <w:sz w:val="24"/>
          <w:szCs w:val="24"/>
          <w:lang w:val="ru-RU"/>
        </w:rPr>
        <w:t xml:space="preserve"> (</w:t>
      </w:r>
      <w:r>
        <w:rPr>
          <w:rFonts w:hint="default" w:ascii="Times New Roman" w:hAnsi="Times New Roman" w:eastAsia="mn-ea"/>
          <w:color w:val="000000"/>
          <w:kern w:val="24"/>
          <w:sz w:val="24"/>
          <w:szCs w:val="24"/>
          <w:lang w:val="ru-RU"/>
        </w:rPr>
        <w:t>аппарат D2-Phaser)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right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Таблица 6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center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Определение кристаллической решетки вещества </w:t>
      </w:r>
      <w:r>
        <w:rPr>
          <w:rFonts w:hint="default" w:ascii="Times New Roman" w:hAnsi="Times New Roman"/>
          <w:b w:val="0"/>
          <w:bCs/>
          <w:sz w:val="28"/>
          <w:szCs w:val="28"/>
          <w:lang w:val="en-US"/>
        </w:rPr>
        <w:t>(CaCO</w:t>
      </w:r>
      <w:r>
        <w:rPr>
          <w:rFonts w:hint="default" w:ascii="Times New Roman" w:hAnsi="Times New Roman"/>
          <w:b w:val="0"/>
          <w:bCs/>
          <w:sz w:val="28"/>
          <w:szCs w:val="28"/>
          <w:vertAlign w:val="subscript"/>
          <w:lang w:val="en-US"/>
        </w:rPr>
        <w:t>3</w:t>
      </w:r>
      <w:r>
        <w:rPr>
          <w:rFonts w:hint="default" w:ascii="Times New Roman" w:hAnsi="Times New Roman"/>
          <w:b w:val="0"/>
          <w:bCs/>
          <w:sz w:val="28"/>
          <w:szCs w:val="28"/>
          <w:vertAlign w:val="baseline"/>
          <w:lang w:val="en-US"/>
        </w:rPr>
        <w:t>)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для образцов, собранных в районе р. Белая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76" w:lineRule="auto"/>
        <w:jc w:val="center"/>
        <w:textAlignment w:val="auto"/>
      </w:pPr>
      <w:r>
        <w:drawing>
          <wp:inline distT="0" distB="0" distL="114300" distR="114300">
            <wp:extent cx="5421630" cy="2003425"/>
            <wp:effectExtent l="0" t="0" r="3810" b="8255"/>
            <wp:docPr id="3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lang w:val="ru-RU"/>
        </w:rPr>
        <w:tab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В соответствии с представленными результатами можно заключить, что </w:t>
      </w:r>
      <w:r>
        <w:rPr>
          <w:rFonts w:hint="default" w:ascii="Times New Roman" w:hAnsi="Times New Roman"/>
          <w:sz w:val="28"/>
          <w:szCs w:val="28"/>
          <w:lang w:val="ru-RU"/>
        </w:rPr>
        <w:t>процессы разрушения кристаллической решетки СаСО</w:t>
      </w:r>
      <w:r>
        <w:rPr>
          <w:rFonts w:hint="default" w:ascii="Times New Roman" w:hAnsi="Times New Roman"/>
          <w:sz w:val="28"/>
          <w:szCs w:val="28"/>
          <w:vertAlign w:val="subscript"/>
          <w:lang w:val="ru-RU"/>
        </w:rPr>
        <w:t>3</w:t>
      </w:r>
      <w:r>
        <w:rPr>
          <w:rFonts w:hint="default" w:ascii="Times New Roman" w:hAnsi="Times New Roman"/>
          <w:sz w:val="28"/>
          <w:szCs w:val="28"/>
          <w:lang w:val="ru-RU"/>
        </w:rPr>
        <w:t>, разложения сложных анионов СО</w:t>
      </w:r>
      <w:r>
        <w:rPr>
          <w:rFonts w:hint="default" w:ascii="Times New Roman" w:hAnsi="Times New Roman"/>
          <w:sz w:val="28"/>
          <w:szCs w:val="28"/>
          <w:vertAlign w:val="subscript"/>
          <w:lang w:val="ru-RU"/>
        </w:rPr>
        <w:t>3</w:t>
      </w:r>
      <w:r>
        <w:rPr>
          <w:rFonts w:hint="default" w:ascii="Times New Roman" w:hAnsi="Times New Roman"/>
          <w:sz w:val="28"/>
          <w:szCs w:val="28"/>
          <w:vertAlign w:val="superscript"/>
          <w:lang w:val="ru-RU"/>
        </w:rPr>
        <w:t>2-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, образование кристаллической решетки СаО, то есть превращение гексагональной решетки кальцита в кубическую решетку оксида кальция не наблюдается. Распад анионов и последующее разрушение кристаллической решетки исходного вещества возможны лишь при определенных условиях, которые составляют кристаллохимическую сторону явления диссоциации углекислого кальция.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ab/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Мы сравнили брахиоподы, отобранные в верховье реки Нальчик (река Белая) (рис.13) с коллекцией брахиопод, отобранных в Хазнидонском ущелье (рис.17).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76" w:lineRule="auto"/>
        <w:jc w:val="center"/>
        <w:textAlignment w:val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drawing>
          <wp:inline distT="0" distB="0" distL="0" distR="0">
            <wp:extent cx="2860040" cy="2769870"/>
            <wp:effectExtent l="0" t="0" r="5080" b="3810"/>
            <wp:docPr id="24" name="Рисунок 24" descr="C:\Users\User\AppData\Local\Temp\ksohtml1400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User\AppData\Local\Temp\ksohtml1400\wps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76" w:lineRule="auto"/>
        <w:jc w:val="center"/>
        <w:textAlignment w:val="auto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lang w:val="ru-RU"/>
        </w:rPr>
        <w:t>Рисунок</w:t>
      </w:r>
      <w:r>
        <w:rPr>
          <w:rFonts w:hint="default" w:ascii="Times New Roman" w:hAnsi="Times New Roman" w:eastAsia="Calibri"/>
          <w:lang w:val="ru-RU"/>
        </w:rPr>
        <w:t xml:space="preserve"> 17. </w:t>
      </w:r>
      <w:r>
        <w:rPr>
          <w:rFonts w:ascii="Times New Roman" w:hAnsi="Times New Roman" w:eastAsia="Calibri"/>
        </w:rPr>
        <w:t>Пробоотбор (ноябрь 2021 г.)</w:t>
      </w:r>
      <w:r>
        <w:rPr>
          <w:rFonts w:hint="default" w:ascii="Times New Roman" w:hAnsi="Times New Roman" w:eastAsia="Calibri"/>
          <w:lang w:val="ru-RU"/>
        </w:rPr>
        <w:t xml:space="preserve"> в</w:t>
      </w:r>
      <w:r>
        <w:rPr>
          <w:rFonts w:ascii="Times New Roman" w:hAnsi="Times New Roman" w:eastAsia="Calibri"/>
        </w:rPr>
        <w:t xml:space="preserve"> </w:t>
      </w:r>
      <w:r>
        <w:rPr>
          <w:rFonts w:ascii="Times New Roman" w:hAnsi="Times New Roman" w:eastAsia="Calibri"/>
          <w:lang w:val="ru-RU"/>
        </w:rPr>
        <w:t>м</w:t>
      </w:r>
      <w:r>
        <w:rPr>
          <w:rFonts w:ascii="Times New Roman" w:hAnsi="Times New Roman" w:eastAsia="Calibri"/>
        </w:rPr>
        <w:t xml:space="preserve">еждуречье рек Хазнидон – Лахумедон, 1 070 </w:t>
      </w:r>
      <w:r>
        <w:rPr>
          <w:rFonts w:ascii="Times New Roman" w:hAnsi="Times New Roman" w:eastAsia="Calibri"/>
          <w:sz w:val="24"/>
          <w:szCs w:val="24"/>
        </w:rPr>
        <w:t>м. над у.м. (Фото Елканов</w:t>
      </w:r>
      <w:r>
        <w:rPr>
          <w:rFonts w:ascii="Times New Roman" w:hAnsi="Times New Roman" w:eastAsia="Calibri"/>
          <w:sz w:val="24"/>
          <w:szCs w:val="24"/>
          <w:lang w:val="ru-RU"/>
        </w:rPr>
        <w:t>а</w:t>
      </w:r>
      <w:r>
        <w:rPr>
          <w:rFonts w:ascii="Times New Roman" w:hAnsi="Times New Roman" w:eastAsia="Calibri"/>
          <w:sz w:val="24"/>
          <w:szCs w:val="24"/>
        </w:rPr>
        <w:t xml:space="preserve"> А.С.)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 w:firstLineChars="0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ascii="Times New Roman" w:hAnsi="Times New Roman" w:eastAsia="Calibri"/>
          <w:sz w:val="28"/>
          <w:szCs w:val="28"/>
        </w:rPr>
        <w:t>Пробы отбирали</w:t>
      </w:r>
      <w:r>
        <w:rPr>
          <w:rFonts w:ascii="Times New Roman" w:hAnsi="Times New Roman" w:eastAsia="Calibri"/>
          <w:sz w:val="28"/>
          <w:szCs w:val="28"/>
          <w:lang w:val="ru-RU"/>
        </w:rPr>
        <w:t>сь</w:t>
      </w:r>
      <w:r>
        <w:rPr>
          <w:rFonts w:ascii="Times New Roman" w:hAnsi="Times New Roman" w:eastAsia="Calibri"/>
          <w:sz w:val="28"/>
          <w:szCs w:val="28"/>
        </w:rPr>
        <w:t xml:space="preserve"> в ноябре 2021г в местах </w:t>
      </w:r>
      <w:r>
        <w:rPr>
          <w:rFonts w:hint="default" w:ascii="Times New Roman" w:hAnsi="Times New Roman" w:eastAsia="Calibri"/>
          <w:sz w:val="28"/>
          <w:szCs w:val="28"/>
        </w:rPr>
        <w:t>в естественных обнажениях осадочных пород вдоль берега реки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 (рис.18, 19). Бассейн р. Хазнидон плане относится к Предкавказской или Скифской плите, в строении фундамента которой присутствуют отложения среднего и верхнего палеозоя и раннего мезозоя. В строении моноклинали принимают участие отложения от верхней юры до неогена общей мощностью несколько тысяч м, представленные терригенно-карбонатными породами.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108" w:type="dxa"/>
          <w:right w:w="108" w:type="dxa"/>
        </w:tblCellMar>
      </w:tblPr>
      <w:tblGrid>
        <w:gridCol w:w="4973"/>
        <w:gridCol w:w="2297"/>
        <w:gridCol w:w="23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9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default" w:ascii="Times New Roman" w:hAnsi="Times New Roman" w:eastAsia="Calibri"/>
                <w:sz w:val="28"/>
                <w:szCs w:val="28"/>
                <w:vertAlign w:val="baseline"/>
                <w:lang w:val="ru-RU"/>
              </w:rPr>
            </w:pPr>
            <w:r>
              <w:drawing>
                <wp:inline distT="0" distB="0" distL="114300" distR="114300">
                  <wp:extent cx="3061335" cy="1867535"/>
                  <wp:effectExtent l="0" t="0" r="1905" b="6985"/>
                  <wp:docPr id="1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335" cy="186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default" w:ascii="Times New Roman" w:hAnsi="Times New Roman" w:eastAsia="Calibri"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443355" cy="1925320"/>
                  <wp:effectExtent l="0" t="0" r="4445" b="10160"/>
                  <wp:docPr id="22" name="Рисунок 13" descr="G:\ХАНИДОН\aab20c52-efe3-4636-b942-81212de36888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13" descr="G:\ХАНИДОН\aab20c52-efe3-4636-b942-81212de36888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55" cy="192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default" w:ascii="Times New Roman" w:hAnsi="Times New Roman" w:eastAsia="Calibri"/>
                <w:sz w:val="28"/>
                <w:szCs w:val="28"/>
                <w:vertAlign w:val="baseline"/>
                <w:lang w:val="ru-RU"/>
              </w:rPr>
            </w:pPr>
            <w:r>
              <w:drawing>
                <wp:inline distT="0" distB="0" distL="114300" distR="114300">
                  <wp:extent cx="1427480" cy="1920875"/>
                  <wp:effectExtent l="0" t="0" r="5080" b="14605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1008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7480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973" w:type="dxa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76" w:lineRule="auto"/>
              <w:jc w:val="center"/>
              <w:textAlignment w:val="auto"/>
              <w:rPr>
                <w:rFonts w:hint="default" w:ascii="Times New Roman" w:hAnsi="Times New Roman" w:eastAsia="Calibri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>Рисунок 18. Координаты отбора проб макрофоссилий в «Междуречье», 21.11.2021г</w:t>
            </w:r>
          </w:p>
        </w:tc>
        <w:tc>
          <w:tcPr>
            <w:tcW w:w="4598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default" w:ascii="Times New Roman" w:hAnsi="Times New Roman" w:eastAsia="Calibri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 xml:space="preserve">Рисунок 19. Пробоотбор в естественных обнажениях осадочных пород в Междуречье </w:t>
            </w:r>
            <w:r>
              <w:rPr>
                <w:rFonts w:ascii="Times New Roman" w:hAnsi="Times New Roman" w:eastAsia="Calibri"/>
              </w:rPr>
              <w:t xml:space="preserve">рек Хазнидон – Лахумедон, 1 070 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м. над у.м.</w:t>
            </w:r>
            <w:r>
              <w:rPr>
                <w:rFonts w:hint="default" w:ascii="Times New Roman" w:hAnsi="Times New Roman" w:eastAsia="Calibri"/>
                <w:sz w:val="24"/>
                <w:szCs w:val="24"/>
                <w:lang w:val="ru-RU"/>
              </w:rPr>
              <w:t xml:space="preserve"> (Фото Бердановой Е.И.)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 w:eastAsia="Calibri"/>
          <w:sz w:val="24"/>
          <w:szCs w:val="24"/>
          <w:lang w:val="ru-RU"/>
        </w:rPr>
      </w:pPr>
      <w:r>
        <w:rPr>
          <w:rFonts w:hint="default" w:ascii="Times New Roman" w:hAnsi="Times New Roman" w:eastAsia="Calibri"/>
          <w:sz w:val="24"/>
          <w:szCs w:val="24"/>
          <w:lang w:val="ru-RU"/>
        </w:rPr>
        <w:tab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>По результатам таксометрических (табл.5) и рентгеноскопических исследований фоссилии Хазнидонского ущелья (табл. 7, рис.20) идентичны фоссилиям, отобранным в верховье р. Нальчик (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табл. 6, рис.16.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>).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76" w:lineRule="auto"/>
        <w:jc w:val="center"/>
        <w:textAlignment w:val="auto"/>
        <w:rPr>
          <w:rFonts w:hint="default" w:ascii="Times New Roman" w:hAnsi="Times New Roman" w:eastAsia="Calibri"/>
          <w:sz w:val="24"/>
          <w:szCs w:val="24"/>
          <w:lang w:val="ru-RU"/>
        </w:rPr>
      </w:pPr>
      <w:r>
        <w:drawing>
          <wp:inline distT="0" distB="0" distL="114300" distR="114300">
            <wp:extent cx="4359910" cy="2508250"/>
            <wp:effectExtent l="0" t="0" r="13970" b="6350"/>
            <wp:docPr id="3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Рисунок 20. </w:t>
      </w:r>
      <w:r>
        <w:rPr>
          <w:rFonts w:hint="default" w:ascii="Times New Roman" w:hAnsi="Times New Roman" w:eastAsia="mn-ea" w:cs="Times New Roman"/>
          <w:color w:val="000000"/>
          <w:kern w:val="24"/>
          <w:sz w:val="24"/>
          <w:szCs w:val="24"/>
        </w:rPr>
        <w:t>Рентгеновская дифрактограмма образцов, собранных в районе р.</w:t>
      </w:r>
      <w:r>
        <w:rPr>
          <w:rFonts w:hint="default" w:ascii="Times New Roman" w:hAnsi="Times New Roman" w:eastAsia="mn-ea" w:cs="Times New Roman"/>
          <w:color w:val="000000"/>
          <w:kern w:val="24"/>
          <w:sz w:val="24"/>
          <w:szCs w:val="24"/>
          <w:lang w:val="ru-RU"/>
        </w:rPr>
        <w:t>Хазнидон (</w:t>
      </w:r>
      <w:r>
        <w:rPr>
          <w:rFonts w:hint="default" w:ascii="Times New Roman" w:hAnsi="Times New Roman" w:eastAsia="mn-ea"/>
          <w:color w:val="000000"/>
          <w:kern w:val="24"/>
          <w:sz w:val="24"/>
          <w:szCs w:val="24"/>
          <w:lang w:val="ru-RU"/>
        </w:rPr>
        <w:t>аппарат D2-Phaser)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right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>Таблица 7.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center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Определение кристаллической решетки вещества </w:t>
      </w:r>
      <w:r>
        <w:rPr>
          <w:rFonts w:hint="default" w:ascii="Times New Roman" w:hAnsi="Times New Roman"/>
          <w:b w:val="0"/>
          <w:bCs/>
          <w:sz w:val="28"/>
          <w:szCs w:val="28"/>
          <w:lang w:val="en-US"/>
        </w:rPr>
        <w:t>(CaCO</w:t>
      </w:r>
      <w:r>
        <w:rPr>
          <w:rFonts w:hint="default" w:ascii="Times New Roman" w:hAnsi="Times New Roman"/>
          <w:b w:val="0"/>
          <w:bCs/>
          <w:sz w:val="28"/>
          <w:szCs w:val="28"/>
          <w:vertAlign w:val="subscript"/>
          <w:lang w:val="en-US"/>
        </w:rPr>
        <w:t>3</w:t>
      </w:r>
      <w:r>
        <w:rPr>
          <w:rFonts w:hint="default" w:ascii="Times New Roman" w:hAnsi="Times New Roman"/>
          <w:b w:val="0"/>
          <w:bCs/>
          <w:sz w:val="28"/>
          <w:szCs w:val="28"/>
          <w:vertAlign w:val="baseline"/>
          <w:lang w:val="en-US"/>
        </w:rPr>
        <w:t>)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для образцов, собранных в районе р. Хазнидон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76" w:lineRule="auto"/>
        <w:jc w:val="center"/>
        <w:textAlignment w:val="auto"/>
        <w:rPr>
          <w:rFonts w:hint="default"/>
          <w:lang w:val="ru-RU"/>
        </w:rPr>
      </w:pPr>
      <w:r>
        <w:drawing>
          <wp:inline distT="0" distB="0" distL="114300" distR="114300">
            <wp:extent cx="5306695" cy="2032635"/>
            <wp:effectExtent l="0" t="0" r="12065" b="9525"/>
            <wp:docPr id="36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 w:firstLineChars="0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Фоссилии можно найти не всегда в тех местах, где они обитали. Возможны снос и переотложение ископаемой фауны, поэтому следует доказывать первичность залегания фоссилий (залегание in situ). В связи с этой задачей возникло и развивается особое направление в палеонтологии - «тафономия», наука об особенностях захоронения органических остатков и о возрасте фоссилий по физическим признакам.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br w:type="page"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b/>
          <w:bCs/>
          <w:sz w:val="28"/>
          <w:szCs w:val="28"/>
          <w:lang w:val="ru-RU"/>
        </w:rPr>
        <w:t>Выводы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hanging="420" w:firstLineChars="0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Изучено геологическое, геоморфологическое строение верховья р. Белая.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hanging="420" w:firstLineChars="0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>Собраны образцы брахиопод и некоего позвоночного, описание которого планируется на следующем этапе исследований.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hanging="420" w:firstLineChars="0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</w:rPr>
        <w:t>пределен</w:t>
      </w:r>
      <w:r>
        <w:rPr>
          <w:rFonts w:ascii="Times New Roman" w:hAnsi="Times New Roman"/>
          <w:sz w:val="28"/>
          <w:szCs w:val="28"/>
          <w:lang w:val="ru-RU"/>
        </w:rPr>
        <w:t>ие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качественного</w:t>
      </w:r>
      <w:r>
        <w:rPr>
          <w:rFonts w:ascii="Times New Roman" w:hAnsi="Times New Roman"/>
          <w:sz w:val="28"/>
          <w:szCs w:val="28"/>
        </w:rPr>
        <w:t xml:space="preserve"> химического состава фоссилий</w:t>
      </w:r>
      <w:r>
        <w:rPr>
          <w:rFonts w:hint="default" w:ascii="Times New Roman" w:hAnsi="Times New Roman"/>
          <w:sz w:val="28"/>
          <w:szCs w:val="28"/>
          <w:lang w:val="ru-RU"/>
        </w:rPr>
        <w:t>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hanging="420" w:firstLineChars="0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>Произведена систематики образцов и сравнительный анализ с фоссилиями Хазнидонского ущелья.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hanging="420" w:firstLineChars="0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</w:rPr>
        <w:t>зучен</w:t>
      </w:r>
      <w:r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</w:rPr>
        <w:t xml:space="preserve"> экологи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брахиопод</w:t>
      </w:r>
      <w:r>
        <w:rPr>
          <w:rFonts w:ascii="Times New Roman" w:hAnsi="Times New Roman"/>
          <w:sz w:val="28"/>
          <w:szCs w:val="28"/>
        </w:rPr>
        <w:t xml:space="preserve"> в целях выяснения образа жизни и условий их обитания</w:t>
      </w:r>
      <w:r>
        <w:rPr>
          <w:rFonts w:hint="default" w:ascii="Times New Roman" w:hAnsi="Times New Roman"/>
          <w:sz w:val="28"/>
          <w:szCs w:val="28"/>
          <w:lang w:val="ru-RU"/>
        </w:rPr>
        <w:t>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hanging="420" w:firstLineChars="0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Вымершие отряды брахиопод имеют большое стратиграфическое значение, поскольку многие виды являются руководящими формами.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hanging="420" w:firstLineChars="0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Сопоставлен геологический возраст с геологической историей региона: стратиграфическая принадлежность образцов – Мезозойская эра, меловой период, нижний отдел (эпох), ярус (век) валанжинский (139,8 -132,9 млн. лет назад).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20" w:leftChars="0" w:hanging="420" w:firstLineChars="0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>Планируется дальнейшее тесное сотрудничество с музеем живой природы НОЦ «Ботанический сад» КБГУ.</w:t>
      </w:r>
    </w:p>
    <w:p>
      <w:pPr>
        <w:rPr>
          <w:rFonts w:hint="default" w:ascii="Times New Roman" w:hAnsi="Times New Roman" w:eastAsia="Calibri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eastAsia="Calibri"/>
          <w:b w:val="0"/>
          <w:bCs w:val="0"/>
          <w:sz w:val="24"/>
          <w:szCs w:val="24"/>
          <w:lang w:val="ru-RU"/>
        </w:rPr>
        <w:br w:type="page"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b/>
          <w:bCs/>
          <w:sz w:val="28"/>
          <w:szCs w:val="28"/>
          <w:lang w:val="ru-RU"/>
        </w:rPr>
        <w:t>Заключение. Планируемый результат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 w:firstLineChars="0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О событиях далёких времён, мы судим по окаменелостям или фоссилиям - застывшим в камне свидетелям прошлого. Каждая такая находка это настоящее чудо и редкое стечение удачных обстоятельств, без которых окаменелость просто бы не возникла.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8" w:firstLineChars="0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Наша исследовательская работа будет продолжаться. Мы переходим к новому этапу - наша находка (рис.19) представляет большой интерес в рамках данного исследования.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76" w:lineRule="auto"/>
        <w:jc w:val="center"/>
        <w:textAlignment w:val="auto"/>
        <w:rPr>
          <w:rFonts w:hint="default" w:ascii="Times New Roman" w:hAnsi="Times New Roman" w:eastAsia="Calibri"/>
          <w:sz w:val="24"/>
          <w:szCs w:val="24"/>
          <w:lang w:val="ru-RU"/>
        </w:rPr>
      </w:pPr>
      <w:r>
        <w:rPr>
          <w:rFonts w:hint="default" w:ascii="Times New Roman" w:hAnsi="Times New Roman" w:eastAsia="Calibri"/>
          <w:sz w:val="24"/>
          <w:szCs w:val="24"/>
          <w:lang w:val="ru-RU"/>
        </w:rPr>
        <w:drawing>
          <wp:inline distT="0" distB="0" distL="114300" distR="114300">
            <wp:extent cx="3576320" cy="2439670"/>
            <wp:effectExtent l="0" t="0" r="5080" b="13970"/>
            <wp:docPr id="23" name="Изображение 23" descr="позвоноч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позвоночный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76" w:lineRule="auto"/>
        <w:jc w:val="center"/>
        <w:textAlignment w:val="auto"/>
        <w:rPr>
          <w:rFonts w:hint="default" w:ascii="Times New Roman" w:hAnsi="Times New Roman" w:eastAsia="Calibri"/>
          <w:sz w:val="24"/>
          <w:szCs w:val="24"/>
          <w:lang w:val="ru-RU"/>
        </w:rPr>
      </w:pPr>
      <w:r>
        <w:rPr>
          <w:rFonts w:hint="default" w:ascii="Times New Roman" w:hAnsi="Times New Roman" w:eastAsia="Calibri"/>
          <w:sz w:val="24"/>
          <w:szCs w:val="24"/>
          <w:lang w:val="ru-RU"/>
        </w:rPr>
        <w:t>Рисунок 19. «Новый этап исследований» (Фото автора)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 w:firstLineChars="0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Для профессионального описания находки необходима дальнейшее сотрудничество со специалистами 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музея живой природы, отдела геологии НОЦ «Ботанический сад» и </w:t>
      </w:r>
      <w:r>
        <w:rPr>
          <w:rFonts w:hint="default" w:ascii="Times New Roman" w:hAnsi="Times New Roman" w:eastAsia="Calibri"/>
          <w:sz w:val="28"/>
          <w:szCs w:val="28"/>
        </w:rPr>
        <w:t>лаборатории «Рентгендиагностика материала»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Calibri"/>
          <w:sz w:val="28"/>
          <w:szCs w:val="28"/>
        </w:rPr>
        <w:t>Центр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>а</w:t>
      </w:r>
      <w:r>
        <w:rPr>
          <w:rFonts w:hint="default" w:ascii="Times New Roman" w:hAnsi="Times New Roman" w:eastAsia="Calibri"/>
          <w:sz w:val="28"/>
          <w:szCs w:val="28"/>
        </w:rPr>
        <w:t xml:space="preserve"> коллективного пользования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КБГУ.</w:t>
      </w:r>
    </w:p>
    <w:p>
      <w:pPr>
        <w:rPr>
          <w:rFonts w:hint="default" w:ascii="Times New Roman" w:hAnsi="Times New Roman"/>
          <w:b w:val="0"/>
          <w:bCs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br w:type="page"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/>
          <w:b/>
          <w:bCs w:val="0"/>
          <w:sz w:val="28"/>
          <w:szCs w:val="28"/>
          <w:lang w:val="ru-RU"/>
        </w:rPr>
      </w:pPr>
      <w:bookmarkStart w:id="0" w:name="_GoBack"/>
      <w:r>
        <w:rPr>
          <w:rFonts w:hint="default" w:ascii="Times New Roman" w:hAnsi="Times New Roman"/>
          <w:b/>
          <w:bCs w:val="0"/>
          <w:sz w:val="28"/>
          <w:szCs w:val="28"/>
          <w:lang w:val="ru-RU"/>
        </w:rPr>
        <w:t>Благодарность</w:t>
      </w:r>
    </w:p>
    <w:bookmarkEnd w:id="0"/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Выражаю благодарность: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957580" cy="1387475"/>
            <wp:effectExtent l="0" t="0" r="2540" b="14605"/>
            <wp:wrapTight wrapText="bothSides">
              <wp:wrapPolygon>
                <wp:start x="0" y="0"/>
                <wp:lineTo x="0" y="21353"/>
                <wp:lineTo x="21314" y="21353"/>
                <wp:lineTo x="21314" y="0"/>
                <wp:lineTo x="0" y="0"/>
              </wp:wrapPolygon>
            </wp:wrapTight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8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6"/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181610</wp:posOffset>
            </wp:positionV>
            <wp:extent cx="1115060" cy="1607185"/>
            <wp:effectExtent l="0" t="0" r="12700" b="8255"/>
            <wp:wrapTight wrapText="bothSides">
              <wp:wrapPolygon>
                <wp:start x="344" y="0"/>
                <wp:lineTo x="344" y="21301"/>
                <wp:lineTo x="21600" y="21301"/>
                <wp:lineTo x="21600" y="0"/>
                <wp:lineTo x="344" y="0"/>
              </wp:wrapPolygon>
            </wp:wrapTight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4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506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Научному консультанту Шамариной Марин Анатольевне, зам. заведующего музеем живой природы, отдела геологии НОЦ «Ботанический сад» КБГУ.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Консультанту, биологу, фотографу Елканову Аслану Самсадиновичк, п.д.о. «ЭБЦ»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right"/>
        <w:textAlignment w:val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193675</wp:posOffset>
            </wp:positionV>
            <wp:extent cx="1030605" cy="1239520"/>
            <wp:effectExtent l="0" t="0" r="36195" b="25400"/>
            <wp:wrapTight wrapText="bothSides">
              <wp:wrapPolygon>
                <wp:start x="0" y="0"/>
                <wp:lineTo x="0" y="21246"/>
                <wp:lineTo x="21400" y="21246"/>
                <wp:lineTo x="21400" y="0"/>
                <wp:lineTo x="0" y="0"/>
              </wp:wrapPolygon>
            </wp:wrapTight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5"/>
                    <pic:cNvPicPr>
                      <a:picLocks noChangeAspect="1"/>
                    </pic:cNvPicPr>
                  </pic:nvPicPr>
                  <pic:blipFill>
                    <a:blip r:embed="rId44"/>
                    <a:srcRect r="20709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396875</wp:posOffset>
            </wp:positionV>
            <wp:extent cx="1157605" cy="1293495"/>
            <wp:effectExtent l="0" t="0" r="635" b="1905"/>
            <wp:wrapTight wrapText="bothSides">
              <wp:wrapPolygon>
                <wp:start x="273" y="0"/>
                <wp:lineTo x="273" y="21377"/>
                <wp:lineTo x="21600" y="21377"/>
                <wp:lineTo x="21600" y="0"/>
                <wp:lineTo x="273" y="0"/>
              </wp:wrapPolygon>
            </wp:wrapTight>
            <wp:docPr id="30" name="Рисунок 30" descr="C:\ЦЕНТР_2021-22\ПРОЕКТЫ\ПАЛЕОНТАЛОГИЯ\ПРОБООТБОР\756c6605-135e-4677-a41a-7c287c4223b8-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C:\ЦЕНТР_2021-22\ПРОЕКТЫ\ПАЛЕОНТАЛОГИЯ\ПРОБООТБОР\756c6605-135e-4677-a41a-7c287c4223b8-0.jf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6" t="16303" r="35371" b="2663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760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Эксперту-консультанту Гузиеву Хусейну Юсуповичу,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>к.б.н.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-1100455</wp:posOffset>
            </wp:positionH>
            <wp:positionV relativeFrom="paragraph">
              <wp:posOffset>456565</wp:posOffset>
            </wp:positionV>
            <wp:extent cx="951865" cy="1269365"/>
            <wp:effectExtent l="0" t="0" r="8255" b="10795"/>
            <wp:wrapTight wrapText="bothSides">
              <wp:wrapPolygon>
                <wp:start x="0" y="0"/>
                <wp:lineTo x="0" y="21265"/>
                <wp:lineTo x="21096" y="21265"/>
                <wp:lineTo x="21096" y="0"/>
                <wp:lineTo x="0" y="0"/>
              </wp:wrapPolygon>
            </wp:wrapTight>
            <wp:docPr id="29" name="Изображение 29" descr="БЕРДАНОВА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БЕРДАНОВА-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Calibri"/>
          <w:sz w:val="28"/>
          <w:szCs w:val="28"/>
          <w:lang w:val="ru-RU"/>
        </w:rPr>
        <w:t>Хапаевой Ясмине, ученице 10 кл. МКОУ «Гимназия №14», «палеонтологу Хазнидонского ущелья».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2259330</wp:posOffset>
            </wp:positionH>
            <wp:positionV relativeFrom="paragraph">
              <wp:posOffset>370205</wp:posOffset>
            </wp:positionV>
            <wp:extent cx="2658110" cy="3544570"/>
            <wp:effectExtent l="0" t="0" r="8890" b="6350"/>
            <wp:wrapTight wrapText="bothSides">
              <wp:wrapPolygon>
                <wp:start x="0" y="0"/>
                <wp:lineTo x="0" y="21546"/>
                <wp:lineTo x="21425" y="21546"/>
                <wp:lineTo x="21425" y="0"/>
                <wp:lineTo x="0" y="0"/>
              </wp:wrapPolygon>
            </wp:wrapTight>
            <wp:docPr id="28" name="Изображение 28" descr="d99af897-4bbb-4788-a233-d9ec6bccb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d99af897-4bbb-4788-a233-d9ec6bccbb6a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Calibri"/>
          <w:sz w:val="28"/>
          <w:szCs w:val="28"/>
          <w:lang w:val="ru-RU"/>
        </w:rPr>
        <w:t>Бердановой Елене Ивановне - п.д.о. ГБУ ДО «ЭБЦ» Минпросвещения КБР, руководителю исследовательской работы.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Calibri"/>
          <w:sz w:val="28"/>
          <w:szCs w:val="28"/>
          <w:lang w:val="ru-RU"/>
        </w:rPr>
        <w:t xml:space="preserve">Особую благодарность выражаю Жабаги Али, аспиранта КБГУ, за обучение Рентгеновской 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фотоэлектронной спектроскопии и за помощь в </w:t>
      </w:r>
      <w:r>
        <w:rPr>
          <w:rFonts w:hint="default" w:ascii="Times New Roman" w:hAnsi="Times New Roman" w:eastAsia="Calibri"/>
          <w:sz w:val="28"/>
          <w:szCs w:val="28"/>
          <w:lang w:val="ru-RU"/>
        </w:rPr>
        <w:t>проведении химического качественного анализа фоссилий.</w:t>
      </w:r>
    </w:p>
    <w:p>
      <w:pPr>
        <w:rPr>
          <w:rFonts w:hint="default" w:ascii="Times New Roman" w:hAnsi="Times New Roman" w:eastAsia="Calibri"/>
          <w:sz w:val="24"/>
          <w:szCs w:val="24"/>
          <w:lang w:val="ru-RU"/>
        </w:rPr>
      </w:pPr>
      <w:r>
        <w:rPr>
          <w:rFonts w:hint="default" w:ascii="Times New Roman" w:hAnsi="Times New Roman" w:eastAsia="Calibri"/>
          <w:sz w:val="24"/>
          <w:szCs w:val="24"/>
          <w:lang w:val="ru-RU"/>
        </w:rPr>
        <w:br w:type="page"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Times New Roman" w:hAnsi="Times New Roman" w:eastAsia="Calibri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Calibri" w:cs="Times New Roman"/>
          <w:b/>
          <w:bCs/>
          <w:sz w:val="28"/>
          <w:szCs w:val="28"/>
          <w:lang w:val="ru-RU"/>
        </w:rPr>
        <w:t>Список использованных источников и литературы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1.[Электронный ресурс]. URL: 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"https://naukarus.com/zachem-nuzhna-paleontologiya"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5"/>
          <w:rFonts w:hint="default" w:ascii="Times New Roman" w:hAnsi="Times New Roman" w:cs="Times New Roman"/>
          <w:sz w:val="28"/>
          <w:szCs w:val="28"/>
        </w:rPr>
        <w:t>https://naukarus.com/zachem-nuzhna-paleontologiya</w:t>
      </w:r>
      <w:r>
        <w:rPr>
          <w:rStyle w:val="5"/>
          <w:rFonts w:hint="default" w:ascii="Times New Roman" w:hAnsi="Times New Roman" w:cs="Times New Roman"/>
          <w:sz w:val="28"/>
          <w:szCs w:val="28"/>
        </w:rPr>
        <w:fldChar w:fldCharType="end"/>
      </w:r>
      <w:r>
        <w:rPr>
          <w:rStyle w:val="5"/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Style w:val="5"/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  <w:t>(дата обращения 12.10.2022)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2. Современная палеонтология. Том 2. Методы, направления, проблемы, практическое приложение' \\Шишкин М.А., Мейен С.В., Алексеев А.С. - Москва: Недра, 1988 - с.383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3. Друщиц В.В. 'Палеонтология беспозвоночных' - Москва: Издательство Московского университета, 1974 - с.528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4. Крумбигель Г., Вальтер Х. Ископаемые. Сбор, препарирование, определение, использование М.: Мир, 1980. — 334 с. [Электронный ресурс]. URL: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"https://www.afx.ru/paleontology/iskopaemye"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5"/>
          <w:rFonts w:hint="default" w:ascii="Times New Roman" w:hAnsi="Times New Roman" w:cs="Times New Roman"/>
          <w:sz w:val="28"/>
          <w:szCs w:val="28"/>
        </w:rPr>
        <w:t>https://www.afx.ru/paleontology/iskopaemye</w:t>
      </w:r>
      <w:r>
        <w:rPr>
          <w:rStyle w:val="5"/>
          <w:rFonts w:hint="default" w:ascii="Times New Roman" w:hAnsi="Times New Roman" w:cs="Times New Roman"/>
          <w:sz w:val="28"/>
          <w:szCs w:val="28"/>
        </w:rPr>
        <w:fldChar w:fldCharType="end"/>
      </w:r>
      <w:r>
        <w:rPr>
          <w:rStyle w:val="5"/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Style w:val="5"/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  <w:t>(дата обращения 12.10.2022)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5. Палеонтологический музей имени Ю. А. Орлова / отв. Ред. А. В. Лопатин. — М.: ПИН РАН, 2012. — С. [118]. — 320 [376] с. — ISBN 978-5-903825-14-1.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6. Вестхайде В. И Ригер Р. Зоология беспозвоночных Том 2: от артропод до иглокожих и хордовых. — Перевод немецкого издания 2003 года. — Москва: Т-во научных изданий КМК, 2008. — С. 513-935. — ISBN 978-5-87317-495-9.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7. Высшие таксоны животных: данные о числе видов для России и всего мира [Электронный ресурс]. URL: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"http://www.zin.ru/projects/zooint_r/zi2.htm"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5"/>
          <w:rFonts w:hint="default" w:ascii="Times New Roman" w:hAnsi="Times New Roman" w:cs="Times New Roman"/>
          <w:sz w:val="28"/>
          <w:szCs w:val="28"/>
        </w:rPr>
        <w:t>http://www.zin.ru/projects/zooint_r/zi2.htm</w:t>
      </w:r>
      <w:r>
        <w:rPr>
          <w:rStyle w:val="5"/>
          <w:rFonts w:hint="default" w:ascii="Times New Roman" w:hAnsi="Times New Roman" w:cs="Times New Roman"/>
          <w:sz w:val="28"/>
          <w:szCs w:val="28"/>
        </w:rPr>
        <w:fldChar w:fldCharType="end"/>
      </w:r>
      <w:r>
        <w:rPr>
          <w:rStyle w:val="5"/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Style w:val="5"/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  <w:t>(дата обращения 12.10.2022)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8. Емузова Л.З., Сижажева М.С.К вопросу об изменении гидрографического статуса реки Нальчик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[Электронный ресурс]. URL: 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"https://cyberleninka.ru/article/n/k-voprosu-ob-izmenenii-gidrograficheskogo-statusa-reki-nalchik?ysclid=laa1k5wxwm846441804"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5"/>
          <w:rFonts w:hint="default" w:ascii="Times New Roman" w:hAnsi="Times New Roman" w:cs="Times New Roman"/>
          <w:sz w:val="28"/>
          <w:szCs w:val="28"/>
        </w:rPr>
        <w:t>https://cyberleninka.ru/article/n/k-voprosu-ob-izmenenii-gidrograficheskogo-statusa-reki-nalchik?ysclid=laa1k5wxwm846441804</w:t>
      </w:r>
      <w:r>
        <w:rPr>
          <w:rStyle w:val="5"/>
          <w:rFonts w:hint="default" w:ascii="Times New Roman" w:hAnsi="Times New Roman" w:cs="Times New Roman"/>
          <w:sz w:val="28"/>
          <w:szCs w:val="28"/>
        </w:rPr>
        <w:fldChar w:fldCharType="end"/>
      </w:r>
      <w:r>
        <w:rPr>
          <w:rStyle w:val="5"/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Style w:val="5"/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  <w:t>(дата обращения 12.10.2022)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9. </w:t>
      </w:r>
      <w:r>
        <w:rPr>
          <w:rFonts w:hint="default" w:ascii="Times New Roman" w:hAnsi="Times New Roman" w:eastAsia="SimSun" w:cs="Times New Roman"/>
          <w:color w:val="auto"/>
          <w:sz w:val="28"/>
          <w:szCs w:val="28"/>
          <w:u w:val="none"/>
        </w:rPr>
        <w:fldChar w:fldCharType="begin"/>
      </w:r>
      <w:r>
        <w:rPr>
          <w:rFonts w:hint="default" w:ascii="Times New Roman" w:hAnsi="Times New Roman" w:eastAsia="SimSun" w:cs="Times New Roman"/>
          <w:color w:val="auto"/>
          <w:sz w:val="28"/>
          <w:szCs w:val="28"/>
          <w:u w:val="none"/>
        </w:rPr>
        <w:instrText xml:space="preserve"> HYPERLINK "https://kbsu.ru/struktura-nir/nauchnye-podrazdeleniya/tsentr-kollektivnogo-polzovaniya-rentgenovskaya-diagnostika-materialov/?ysclid=lb8lv9hzpn766380048" </w:instrText>
      </w:r>
      <w:r>
        <w:rPr>
          <w:rFonts w:hint="default" w:ascii="Times New Roman" w:hAnsi="Times New Roman" w:eastAsia="SimSun" w:cs="Times New Roman"/>
          <w:color w:val="auto"/>
          <w:sz w:val="28"/>
          <w:szCs w:val="28"/>
          <w:u w:val="none"/>
        </w:rPr>
        <w:fldChar w:fldCharType="separate"/>
      </w:r>
      <w:r>
        <w:rPr>
          <w:rStyle w:val="5"/>
          <w:rFonts w:hint="default" w:ascii="Times New Roman" w:hAnsi="Times New Roman" w:eastAsia="SimSun" w:cs="Times New Roman"/>
          <w:color w:val="auto"/>
          <w:sz w:val="28"/>
          <w:szCs w:val="28"/>
          <w:u w:val="none"/>
        </w:rPr>
        <w:t>Центр коллективного пользования «Рентгеновская диагностика материалов» | Официальный сайт Кабардино-Балкарского Государственного Университета им. Х.М. БербековаОфициальный сайт Кабардино-Балкарского Государственного Университета им. Х.М. Бербекова (kbsu.ru)</w:t>
      </w:r>
      <w:r>
        <w:rPr>
          <w:rFonts w:hint="default" w:ascii="Times New Roman" w:hAnsi="Times New Roman" w:eastAsia="SimSun" w:cs="Times New Roman"/>
          <w:color w:val="auto"/>
          <w:sz w:val="28"/>
          <w:szCs w:val="28"/>
          <w:u w:val="none"/>
        </w:rPr>
        <w:fldChar w:fldCharType="end"/>
      </w:r>
      <w:r>
        <w:rPr>
          <w:rFonts w:hint="default" w:ascii="Times New Roman" w:hAnsi="Times New Roman" w:cs="Times New Roman"/>
          <w:sz w:val="28"/>
          <w:szCs w:val="28"/>
        </w:rPr>
        <w:t>: https://kbsu.ru/struktura-nir/nauchnye-podrazdeleniya/tsentr-kollektivnogo-polzovaniya-rentgenovskaya-diagnostika-materialov/?ysclid=lb8lv9hzpn766380048 © Официальный сайт Кабардино-Балкарского Государственного Университета им. Х.М. Бербекова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10. </w:t>
      </w:r>
      <w:r>
        <w:rPr>
          <w:rFonts w:hint="default" w:ascii="Times New Roman" w:hAnsi="Times New Roman" w:cs="Times New Roman"/>
          <w:sz w:val="28"/>
          <w:szCs w:val="28"/>
        </w:rPr>
        <w:t>Основы палеонтологии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  <w:r>
        <w:rPr>
          <w:rFonts w:hint="default" w:ascii="Times New Roman" w:hAnsi="Times New Roman" w:cs="Times New Roman"/>
          <w:sz w:val="28"/>
          <w:szCs w:val="28"/>
        </w:rPr>
        <w:t xml:space="preserve"> Справочник для палеонтологов и геологов СССР в пятнадцати томах Главный-редактор Ю. А. Орлов //Издательство Академии наук СССР, Москва 1959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8" w:right="48" w:firstLine="0"/>
        <w:jc w:val="left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1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1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.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instrText xml:space="preserve"> HYPERLINK "https://www.ammonit.ru/museum.htm" </w:instrTex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separate"/>
      </w:r>
      <w:r>
        <w:rPr>
          <w:rStyle w:val="5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Виртуальный палеонтологический музей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end"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[Электронный ресурс]. URL: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Times New Roman" w:hAnsi="Times New Roman" w:eastAsia="Calibri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color w:val="auto"/>
          <w:sz w:val="28"/>
          <w:szCs w:val="28"/>
          <w:u w:val="none"/>
          <w:lang w:val="ru-RU"/>
        </w:rPr>
        <w:fldChar w:fldCharType="begin"/>
      </w:r>
      <w:r>
        <w:rPr>
          <w:rFonts w:hint="default" w:ascii="Times New Roman" w:hAnsi="Times New Roman" w:eastAsia="SimSun" w:cs="Times New Roman"/>
          <w:color w:val="auto"/>
          <w:sz w:val="28"/>
          <w:szCs w:val="28"/>
          <w:u w:val="none"/>
          <w:lang w:val="ru-RU"/>
        </w:rPr>
        <w:instrText xml:space="preserve"> HYPERLINK "https://www.ammonit.ru/fossil/72.htm" </w:instrText>
      </w:r>
      <w:r>
        <w:rPr>
          <w:rFonts w:hint="default" w:ascii="Times New Roman" w:hAnsi="Times New Roman" w:eastAsia="SimSun" w:cs="Times New Roman"/>
          <w:color w:val="auto"/>
          <w:sz w:val="28"/>
          <w:szCs w:val="28"/>
          <w:u w:val="none"/>
          <w:lang w:val="ru-RU"/>
        </w:rPr>
        <w:fldChar w:fldCharType="separate"/>
      </w:r>
      <w:r>
        <w:rPr>
          <w:rStyle w:val="5"/>
          <w:rFonts w:hint="default" w:ascii="Times New Roman" w:hAnsi="Times New Roman" w:eastAsia="SimSun" w:cs="Times New Roman"/>
          <w:sz w:val="28"/>
          <w:szCs w:val="28"/>
          <w:lang w:val="ru-RU"/>
        </w:rPr>
        <w:t>https://www.ammonit.ru/fossil/72.htm</w:t>
      </w:r>
      <w:r>
        <w:rPr>
          <w:rFonts w:hint="default" w:ascii="Times New Roman" w:hAnsi="Times New Roman" w:eastAsia="SimSun" w:cs="Times New Roman"/>
          <w:color w:val="auto"/>
          <w:sz w:val="28"/>
          <w:szCs w:val="28"/>
          <w:u w:val="none"/>
          <w:lang w:val="ru-RU"/>
        </w:rPr>
        <w:fldChar w:fldCharType="end"/>
      </w:r>
      <w:r>
        <w:rPr>
          <w:rFonts w:hint="default" w:ascii="Times New Roman" w:hAnsi="Times New Roman" w:eastAsia="SimSun" w:cs="Times New Roman"/>
          <w:color w:val="auto"/>
          <w:sz w:val="28"/>
          <w:szCs w:val="28"/>
          <w:u w:val="none"/>
          <w:lang w:val="ru-RU"/>
        </w:rPr>
        <w:t xml:space="preserve"> </w:t>
      </w:r>
      <w:r>
        <w:rPr>
          <w:rStyle w:val="5"/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  <w:t>(дата обращения 1</w:t>
      </w:r>
      <w:r>
        <w:rPr>
          <w:rStyle w:val="5"/>
          <w:rFonts w:hint="default" w:ascii="Times New Roman" w:hAnsi="Times New Roman"/>
          <w:color w:val="auto"/>
          <w:sz w:val="28"/>
          <w:szCs w:val="28"/>
          <w:u w:val="none"/>
          <w:lang w:val="ru-RU"/>
        </w:rPr>
        <w:t>2.10.2022)</w:t>
      </w:r>
    </w:p>
    <w:sectPr>
      <w:headerReference r:id="rId5" w:type="first"/>
      <w:footerReference r:id="rId7" w:type="first"/>
      <w:footerReference r:id="rId6" w:type="default"/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n-e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Droid Sans Fallback">
    <w:altName w:val="Times New Roman"/>
    <w:panose1 w:val="00000000000000000000"/>
    <w:charset w:val="01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auto"/>
    <w:pitch w:val="variable"/>
    <w:sig w:usb0="E4002EFF" w:usb1="C000247B" w:usb2="00000009" w:usb3="00000000" w:csb0="200001FF" w:csb1="00000000"/>
  </w:font>
  <w:font w:name="Cambria Math">
    <w:panose1 w:val="02040503050406030204"/>
    <w:charset w:val="CC"/>
    <w:family w:val="auto"/>
    <w:pitch w:val="variable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Текстовое пол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default" w:ascii="Times New Roman" w:hAnsi="Times New Roman" w:cs="Times New Roma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SVju0AAAAAUBAAAPAAAAAAAAAAEAIAAAACIAAABkcnMvZG93&#10;bnJldi54bWxQSwECFAAUAAAACACHTuJAL8yqQ0ECAAB1BAAADgAAAAAAAAABACAAAAAf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default" w:ascii="Times New Roman" w:hAnsi="Times New Roman" w:cs="Times New Roman"/>
                      </w:rPr>
                    </w:pP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3" w:lineRule="auto"/>
      </w:pPr>
      <w:r>
        <w:separator/>
      </w:r>
    </w:p>
  </w:footnote>
  <w:footnote w:type="continuationSeparator" w:id="1">
    <w:p>
      <w:pPr>
        <w:spacing w:before="0" w:after="0" w:line="273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7002E2"/>
    <w:multiLevelType w:val="singleLevel"/>
    <w:tmpl w:val="C17002E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sz w:val="11"/>
        <w:szCs w:val="1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708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B2"/>
    <w:rsid w:val="000110F1"/>
    <w:rsid w:val="00027923"/>
    <w:rsid w:val="00065998"/>
    <w:rsid w:val="000C7262"/>
    <w:rsid w:val="00305568"/>
    <w:rsid w:val="00333E83"/>
    <w:rsid w:val="00342D47"/>
    <w:rsid w:val="0038550A"/>
    <w:rsid w:val="003B2C13"/>
    <w:rsid w:val="004B11B9"/>
    <w:rsid w:val="00577C23"/>
    <w:rsid w:val="005D561B"/>
    <w:rsid w:val="00671218"/>
    <w:rsid w:val="006B49A0"/>
    <w:rsid w:val="006F2C8E"/>
    <w:rsid w:val="00704577"/>
    <w:rsid w:val="00707487"/>
    <w:rsid w:val="00770B61"/>
    <w:rsid w:val="00775AB2"/>
    <w:rsid w:val="00784B35"/>
    <w:rsid w:val="007A2A70"/>
    <w:rsid w:val="007D57B1"/>
    <w:rsid w:val="00907AA3"/>
    <w:rsid w:val="00971EE5"/>
    <w:rsid w:val="009A5F60"/>
    <w:rsid w:val="00B26430"/>
    <w:rsid w:val="00C55EE5"/>
    <w:rsid w:val="00CC08F5"/>
    <w:rsid w:val="00D12DB9"/>
    <w:rsid w:val="00D1739D"/>
    <w:rsid w:val="00D41DA6"/>
    <w:rsid w:val="00D9328A"/>
    <w:rsid w:val="00E140D4"/>
    <w:rsid w:val="00E44673"/>
    <w:rsid w:val="00E65D20"/>
    <w:rsid w:val="00E7380B"/>
    <w:rsid w:val="00F17710"/>
    <w:rsid w:val="00F3036A"/>
    <w:rsid w:val="00F81921"/>
    <w:rsid w:val="00FA29F0"/>
    <w:rsid w:val="00FC3E70"/>
    <w:rsid w:val="022C297A"/>
    <w:rsid w:val="07457E3E"/>
    <w:rsid w:val="09324E2E"/>
    <w:rsid w:val="0BD936D7"/>
    <w:rsid w:val="0E6717FC"/>
    <w:rsid w:val="0EAF1D10"/>
    <w:rsid w:val="0F1657AE"/>
    <w:rsid w:val="10342EE2"/>
    <w:rsid w:val="13962132"/>
    <w:rsid w:val="14515DD5"/>
    <w:rsid w:val="16397379"/>
    <w:rsid w:val="16EA725B"/>
    <w:rsid w:val="1A6C5681"/>
    <w:rsid w:val="1D6E17A5"/>
    <w:rsid w:val="1E5B61CE"/>
    <w:rsid w:val="1F4877E8"/>
    <w:rsid w:val="1F5059A0"/>
    <w:rsid w:val="21140095"/>
    <w:rsid w:val="21353C82"/>
    <w:rsid w:val="214E366E"/>
    <w:rsid w:val="22523C66"/>
    <w:rsid w:val="23112324"/>
    <w:rsid w:val="23BF0D03"/>
    <w:rsid w:val="23F709F8"/>
    <w:rsid w:val="24754474"/>
    <w:rsid w:val="24E9651D"/>
    <w:rsid w:val="251C78A5"/>
    <w:rsid w:val="268C2C23"/>
    <w:rsid w:val="27956E87"/>
    <w:rsid w:val="2AD757E4"/>
    <w:rsid w:val="2AEB7768"/>
    <w:rsid w:val="2BEE31D0"/>
    <w:rsid w:val="2D246966"/>
    <w:rsid w:val="2ED41CA5"/>
    <w:rsid w:val="2F6C7507"/>
    <w:rsid w:val="2FA57FA1"/>
    <w:rsid w:val="2FF629D2"/>
    <w:rsid w:val="31CD6ED5"/>
    <w:rsid w:val="34236997"/>
    <w:rsid w:val="3A402774"/>
    <w:rsid w:val="3B373F54"/>
    <w:rsid w:val="3C306D0A"/>
    <w:rsid w:val="3D2832C7"/>
    <w:rsid w:val="3D387C4C"/>
    <w:rsid w:val="3E704F26"/>
    <w:rsid w:val="404D1CCB"/>
    <w:rsid w:val="44385621"/>
    <w:rsid w:val="44543B92"/>
    <w:rsid w:val="47BB0D75"/>
    <w:rsid w:val="498F20AE"/>
    <w:rsid w:val="4AC561CA"/>
    <w:rsid w:val="4C5C1AF1"/>
    <w:rsid w:val="508C2F70"/>
    <w:rsid w:val="53A57DE8"/>
    <w:rsid w:val="5438608E"/>
    <w:rsid w:val="552D3354"/>
    <w:rsid w:val="557A24A3"/>
    <w:rsid w:val="580E6B07"/>
    <w:rsid w:val="5A471069"/>
    <w:rsid w:val="5B0A2F2F"/>
    <w:rsid w:val="5B533C27"/>
    <w:rsid w:val="5D786349"/>
    <w:rsid w:val="60F647D1"/>
    <w:rsid w:val="618A7769"/>
    <w:rsid w:val="646447D2"/>
    <w:rsid w:val="65942DD9"/>
    <w:rsid w:val="66CC33BA"/>
    <w:rsid w:val="6C797014"/>
    <w:rsid w:val="6D930254"/>
    <w:rsid w:val="6E986917"/>
    <w:rsid w:val="73533C6A"/>
    <w:rsid w:val="75D31784"/>
    <w:rsid w:val="7668093F"/>
    <w:rsid w:val="791C7B57"/>
    <w:rsid w:val="7B4E7749"/>
    <w:rsid w:val="7B567C19"/>
    <w:rsid w:val="7C3A6597"/>
    <w:rsid w:val="7E55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before="100" w:beforeAutospacing="1" w:after="100" w:afterAutospacing="1" w:line="273" w:lineRule="auto"/>
    </w:pPr>
    <w:rPr>
      <w:rFonts w:ascii="Calibri" w:hAnsi="Calibri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next w:val="1"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160" w:afterAutospacing="0" w:line="256" w:lineRule="auto"/>
      <w:ind w:left="0" w:right="0"/>
    </w:pPr>
    <w:rPr>
      <w:rFonts w:ascii="Calibri" w:hAnsi="Calibri" w:cs="Times New Roman"/>
      <w:sz w:val="22"/>
      <w:szCs w:val="22"/>
      <w:lang w:eastAsia="en-US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character" w:styleId="5">
    <w:name w:val="Hyperlink"/>
    <w:basedOn w:val="3"/>
    <w:unhideWhenUsed/>
    <w:qFormat/>
    <w:uiPriority w:val="99"/>
    <w:rPr>
      <w:color w:val="0000FF"/>
      <w:u w:val="single"/>
    </w:rPr>
  </w:style>
  <w:style w:type="paragraph" w:styleId="6">
    <w:name w:val="header"/>
    <w:basedOn w:val="1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7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8">
    <w:name w:val="Normal (Web)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styleId="9">
    <w:name w:val="Table Grid"/>
    <w:basedOn w:val="4"/>
    <w:unhideWhenUsed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Сетка таблицы2"/>
    <w:basedOn w:val="4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39.jpeg"/><Relationship Id="rId46" Type="http://schemas.openxmlformats.org/officeDocument/2006/relationships/image" Target="media/image38.jpeg"/><Relationship Id="rId45" Type="http://schemas.openxmlformats.org/officeDocument/2006/relationships/image" Target="media/image37.jpeg"/><Relationship Id="rId44" Type="http://schemas.openxmlformats.org/officeDocument/2006/relationships/image" Target="media/image36.png"/><Relationship Id="rId43" Type="http://schemas.openxmlformats.org/officeDocument/2006/relationships/image" Target="media/image35.jpeg"/><Relationship Id="rId42" Type="http://schemas.openxmlformats.org/officeDocument/2006/relationships/image" Target="media/image34.jpe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jpe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4065</Words>
  <Characters>23171</Characters>
  <Lines>193</Lines>
  <Paragraphs>54</Paragraphs>
  <TotalTime>44</TotalTime>
  <ScaleCrop>false</ScaleCrop>
  <LinksUpToDate>false</LinksUpToDate>
  <CharactersWithSpaces>27182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2022-11-09T20:59:00Z</dcterms:created>
  <dc:creator>Учетная запись Майкрософт</dc:creator>
  <cp:lastModifiedBy>Танзика Кулиева</cp:lastModifiedBy>
  <dcterms:modified xsi:type="dcterms:W3CDTF">2022-12-24T09:04:08Z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250E876A279B4615A2BB33176732C413</vt:lpwstr>
  </property>
</Properties>
</file>