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rFonts w:ascii="Times New Roman" w:hAnsi="Times New Roman"/>
          <w:i/>
          <w:i/>
          <w:sz w:val="24"/>
          <w:szCs w:val="24"/>
          <w:lang w:eastAsia="ru-RU"/>
        </w:rPr>
      </w:pPr>
      <w:r>
        <w:rPr>
          <w:rFonts w:ascii="Times New Roman" w:hAnsi="Times New Roman"/>
          <w:i/>
          <w:sz w:val="24"/>
          <w:szCs w:val="24"/>
          <w:lang w:eastAsia="ru-RU"/>
        </w:rPr>
        <w:t>Региональный научно-методический ресурсный центр экологического образования</w:t>
      </w:r>
    </w:p>
    <w:p>
      <w:pPr>
        <w:pStyle w:val="NoSpacing"/>
        <w:jc w:val="center"/>
        <w:rPr>
          <w:rFonts w:ascii="Times New Roman" w:hAnsi="Times New Roman"/>
          <w:i/>
          <w:i/>
          <w:sz w:val="24"/>
          <w:szCs w:val="24"/>
          <w:lang w:eastAsia="ru-RU"/>
        </w:rPr>
      </w:pPr>
      <w:r>
        <w:rPr>
          <w:rFonts w:ascii="Times New Roman" w:hAnsi="Times New Roman"/>
          <w:i/>
          <w:sz w:val="24"/>
          <w:szCs w:val="24"/>
          <w:lang w:eastAsia="ru-RU"/>
        </w:rPr>
        <w:t>Всероссийский конкурс юных исследователей окружающей среды «Открытия 2030»</w:t>
      </w:r>
    </w:p>
    <w:p>
      <w:pPr>
        <w:pStyle w:val="NoSpacing"/>
        <w:jc w:val="center"/>
        <w:rPr>
          <w:rFonts w:ascii="Times New Roman" w:hAnsi="Times New Roman"/>
          <w:i/>
          <w:i/>
          <w:sz w:val="24"/>
          <w:szCs w:val="24"/>
          <w:lang w:eastAsia="ru-RU"/>
        </w:rPr>
      </w:pPr>
      <w:r>
        <w:rPr>
          <w:rFonts w:cs="Times New Roman" w:ascii="Times New Roman" w:hAnsi="Times New Roman"/>
          <w:i/>
          <w:sz w:val="24"/>
          <w:szCs w:val="24"/>
          <w:lang w:eastAsia="ru-RU"/>
        </w:rPr>
        <w:t xml:space="preserve">Номинация «Экспериментальная </w:t>
      </w:r>
      <w:r>
        <w:rPr>
          <w:rFonts w:eastAsia="Calibri" w:cs="Times New Roman" w:ascii="Times New Roman" w:hAnsi="Times New Roman" w:eastAsiaTheme="minorHAnsi"/>
          <w:i/>
          <w:color w:val="auto"/>
          <w:kern w:val="0"/>
          <w:sz w:val="24"/>
          <w:szCs w:val="24"/>
          <w:lang w:val="ru-RU" w:eastAsia="ru-RU" w:bidi="ar-SA"/>
        </w:rPr>
        <w:t>зоо</w:t>
      </w:r>
      <w:r>
        <w:rPr>
          <w:rFonts w:cs="Times New Roman" w:ascii="Times New Roman" w:hAnsi="Times New Roman"/>
          <w:i/>
          <w:sz w:val="24"/>
          <w:szCs w:val="24"/>
          <w:lang w:eastAsia="ru-RU"/>
        </w:rPr>
        <w:t>логия»</w:t>
      </w:r>
    </w:p>
    <w:p>
      <w:pPr>
        <w:pStyle w:val="NoSpacing"/>
        <w:jc w:val="center"/>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Spacing"/>
        <w:jc w:val="center"/>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Spacing"/>
        <w:jc w:val="center"/>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Spacing"/>
        <w:jc w:val="center"/>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Spacing"/>
        <w:jc w:val="center"/>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Spacing"/>
        <w:jc w:val="center"/>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Spacing"/>
        <w:jc w:val="center"/>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Spacing"/>
        <w:spacing w:lineRule="auto" w:line="480"/>
        <w:jc w:val="center"/>
        <w:rPr>
          <w:rFonts w:ascii="Times New Roman" w:hAnsi="Times New Roman" w:cs="Times New Roman"/>
          <w:b/>
          <w:b/>
          <w:sz w:val="40"/>
          <w:szCs w:val="40"/>
          <w:lang w:eastAsia="ru-RU"/>
        </w:rPr>
      </w:pPr>
      <w:r>
        <w:rPr>
          <w:rFonts w:cs="Times New Roman" w:ascii="Times New Roman" w:hAnsi="Times New Roman"/>
          <w:b/>
          <w:sz w:val="44"/>
          <w:szCs w:val="44"/>
          <w:lang w:eastAsia="ru-RU"/>
        </w:rPr>
        <w:t xml:space="preserve">Гормонозависимые реакции у ракообразных </w:t>
      </w:r>
      <w:r>
        <w:rPr>
          <w:rFonts w:cs="Times New Roman" w:ascii="Times New Roman" w:hAnsi="Times New Roman"/>
          <w:b/>
          <w:sz w:val="40"/>
          <w:szCs w:val="40"/>
          <w:lang w:eastAsia="ru-RU"/>
        </w:rPr>
        <w:t xml:space="preserve">(на примере ветвистоусых раков </w:t>
      </w:r>
      <w:r>
        <w:rPr>
          <w:rFonts w:cs="Times New Roman" w:ascii="Times New Roman" w:hAnsi="Times New Roman"/>
          <w:b/>
          <w:i/>
          <w:sz w:val="40"/>
          <w:szCs w:val="40"/>
          <w:lang w:val="en-US" w:eastAsia="ru-RU"/>
        </w:rPr>
        <w:t>Daphnia</w:t>
      </w:r>
      <w:r>
        <w:rPr>
          <w:rFonts w:cs="Times New Roman" w:ascii="Times New Roman" w:hAnsi="Times New Roman"/>
          <w:b/>
          <w:i/>
          <w:sz w:val="40"/>
          <w:szCs w:val="40"/>
          <w:lang w:eastAsia="ru-RU"/>
        </w:rPr>
        <w:t xml:space="preserve"> </w:t>
      </w:r>
      <w:r>
        <w:rPr>
          <w:rFonts w:cs="Times New Roman" w:ascii="Times New Roman" w:hAnsi="Times New Roman"/>
          <w:b/>
          <w:i/>
          <w:sz w:val="40"/>
          <w:szCs w:val="40"/>
          <w:lang w:val="en-US" w:eastAsia="ru-RU"/>
        </w:rPr>
        <w:t>magna</w:t>
      </w:r>
      <w:r>
        <w:rPr>
          <w:rFonts w:cs="Times New Roman" w:ascii="Times New Roman" w:hAnsi="Times New Roman"/>
          <w:b/>
          <w:sz w:val="40"/>
          <w:szCs w:val="40"/>
          <w:lang w:eastAsia="ru-RU"/>
        </w:rPr>
        <w:t xml:space="preserve">) </w:t>
      </w:r>
    </w:p>
    <w:p>
      <w:pPr>
        <w:pStyle w:val="NoSpacing"/>
        <w:jc w:val="center"/>
        <w:rPr>
          <w:rFonts w:ascii="Times New Roman" w:hAnsi="Times New Roman" w:cs="Times New Roman"/>
          <w:b/>
          <w:b/>
          <w:sz w:val="40"/>
          <w:szCs w:val="40"/>
          <w:lang w:eastAsia="ru-RU"/>
        </w:rPr>
      </w:pPr>
      <w:r>
        <w:rPr>
          <w:rFonts w:cs="Times New Roman" w:ascii="Times New Roman" w:hAnsi="Times New Roman"/>
          <w:b/>
          <w:sz w:val="40"/>
          <w:szCs w:val="40"/>
          <w:lang w:eastAsia="ru-RU"/>
        </w:rPr>
      </w:r>
    </w:p>
    <w:p>
      <w:pPr>
        <w:pStyle w:val="NoSpacing"/>
        <w:jc w:val="right"/>
        <w:rPr>
          <w:rFonts w:ascii="Times New Roman" w:hAnsi="Times New Roman" w:cs="Times New Roman"/>
          <w:sz w:val="32"/>
          <w:szCs w:val="32"/>
          <w:lang w:eastAsia="ru-RU"/>
        </w:rPr>
      </w:pPr>
      <w:r>
        <w:rPr>
          <w:rFonts w:cs="Times New Roman" w:ascii="Times New Roman" w:hAnsi="Times New Roman"/>
          <w:sz w:val="32"/>
          <w:szCs w:val="32"/>
          <w:lang w:eastAsia="ru-RU"/>
        </w:rPr>
        <w:t xml:space="preserve">Выполнил: </w:t>
      </w:r>
    </w:p>
    <w:p>
      <w:pPr>
        <w:pStyle w:val="NoSpacing"/>
        <w:jc w:val="right"/>
        <w:rPr>
          <w:rFonts w:ascii="Times New Roman" w:hAnsi="Times New Roman" w:cs="Times New Roman"/>
          <w:sz w:val="32"/>
          <w:szCs w:val="32"/>
          <w:lang w:eastAsia="ru-RU"/>
        </w:rPr>
      </w:pPr>
      <w:r>
        <w:rPr>
          <w:rFonts w:cs="Times New Roman" w:ascii="Times New Roman" w:hAnsi="Times New Roman"/>
          <w:sz w:val="32"/>
          <w:szCs w:val="32"/>
          <w:lang w:eastAsia="ru-RU"/>
        </w:rPr>
        <w:t>Сиротин Семен,</w:t>
      </w:r>
    </w:p>
    <w:p>
      <w:pPr>
        <w:pStyle w:val="NoSpacing"/>
        <w:jc w:val="right"/>
        <w:rPr>
          <w:rFonts w:ascii="Times New Roman" w:hAnsi="Times New Roman" w:cs="Times New Roman"/>
          <w:sz w:val="32"/>
          <w:szCs w:val="32"/>
          <w:lang w:eastAsia="ru-RU"/>
        </w:rPr>
      </w:pPr>
      <w:r>
        <w:rPr>
          <w:rFonts w:cs="Times New Roman" w:ascii="Times New Roman" w:hAnsi="Times New Roman"/>
          <w:sz w:val="32"/>
          <w:szCs w:val="32"/>
          <w:lang w:eastAsia="ru-RU"/>
        </w:rPr>
        <w:t xml:space="preserve">11 класс </w:t>
      </w:r>
    </w:p>
    <w:p>
      <w:pPr>
        <w:pStyle w:val="NoSpacing"/>
        <w:jc w:val="right"/>
        <w:rPr>
          <w:rFonts w:ascii="Times New Roman" w:hAnsi="Times New Roman" w:cs="Times New Roman"/>
          <w:sz w:val="32"/>
          <w:szCs w:val="32"/>
          <w:lang w:eastAsia="ru-RU"/>
        </w:rPr>
      </w:pPr>
      <w:r>
        <w:rPr>
          <w:rFonts w:cs="Times New Roman" w:ascii="Times New Roman" w:hAnsi="Times New Roman"/>
          <w:sz w:val="32"/>
          <w:szCs w:val="32"/>
          <w:lang w:eastAsia="ru-RU"/>
        </w:rPr>
      </w:r>
    </w:p>
    <w:p>
      <w:pPr>
        <w:pStyle w:val="NoSpacing"/>
        <w:jc w:val="right"/>
        <w:rPr>
          <w:rFonts w:ascii="Times New Roman" w:hAnsi="Times New Roman" w:cs="Times New Roman"/>
          <w:sz w:val="32"/>
          <w:szCs w:val="32"/>
          <w:lang w:eastAsia="ru-RU"/>
        </w:rPr>
      </w:pPr>
      <w:r>
        <w:rPr>
          <w:rFonts w:cs="Times New Roman" w:ascii="Times New Roman" w:hAnsi="Times New Roman"/>
          <w:sz w:val="32"/>
          <w:szCs w:val="32"/>
          <w:lang w:eastAsia="ru-RU"/>
        </w:rPr>
        <w:t>Научный руководитель:</w:t>
      </w:r>
    </w:p>
    <w:p>
      <w:pPr>
        <w:pStyle w:val="NoSpacing"/>
        <w:jc w:val="right"/>
        <w:rPr>
          <w:rFonts w:ascii="Times New Roman" w:hAnsi="Times New Roman" w:cs="Times New Roman"/>
          <w:sz w:val="32"/>
          <w:szCs w:val="32"/>
          <w:lang w:eastAsia="ru-RU"/>
        </w:rPr>
      </w:pPr>
      <w:r>
        <w:rPr>
          <w:rFonts w:cs="Times New Roman" w:ascii="Times New Roman" w:hAnsi="Times New Roman"/>
          <w:sz w:val="32"/>
          <w:szCs w:val="32"/>
          <w:lang w:eastAsia="ru-RU"/>
        </w:rPr>
        <w:t>Степанчук Николай Александрович</w:t>
      </w:r>
    </w:p>
    <w:p>
      <w:pPr>
        <w:pStyle w:val="NoSpacing"/>
        <w:jc w:val="right"/>
        <w:rPr>
          <w:rFonts w:ascii="Times New Roman" w:hAnsi="Times New Roman" w:cs="Times New Roman"/>
          <w:sz w:val="32"/>
          <w:szCs w:val="32"/>
          <w:lang w:eastAsia="ru-RU"/>
        </w:rPr>
      </w:pPr>
      <w:r>
        <w:rPr>
          <w:rFonts w:cs="Times New Roman" w:ascii="Times New Roman" w:hAnsi="Times New Roman"/>
          <w:sz w:val="32"/>
          <w:szCs w:val="32"/>
          <w:lang w:eastAsia="ru-RU"/>
        </w:rPr>
      </w:r>
    </w:p>
    <w:p>
      <w:pPr>
        <w:pStyle w:val="NoSpacing"/>
        <w:jc w:val="center"/>
        <w:rPr>
          <w:rFonts w:ascii="Times New Roman" w:hAnsi="Times New Roman" w:cs="Times New Roman"/>
          <w:b/>
          <w:b/>
          <w:sz w:val="40"/>
          <w:szCs w:val="40"/>
          <w:lang w:eastAsia="ru-RU"/>
        </w:rPr>
      </w:pPr>
      <w:r>
        <w:rPr>
          <w:rFonts w:cs="Times New Roman" w:ascii="Times New Roman" w:hAnsi="Times New Roman"/>
          <w:b/>
          <w:sz w:val="40"/>
          <w:szCs w:val="40"/>
          <w:lang w:eastAsia="ru-RU"/>
        </w:rPr>
      </w:r>
    </w:p>
    <w:p>
      <w:pPr>
        <w:pStyle w:val="NoSpacing"/>
        <w:jc w:val="center"/>
        <w:rPr>
          <w:rFonts w:ascii="Times New Roman" w:hAnsi="Times New Roman" w:cs="Times New Roman"/>
          <w:b/>
          <w:b/>
          <w:sz w:val="40"/>
          <w:szCs w:val="40"/>
          <w:lang w:eastAsia="ru-RU"/>
        </w:rPr>
      </w:pPr>
      <w:r>
        <w:rPr>
          <w:rFonts w:cs="Times New Roman" w:ascii="Times New Roman" w:hAnsi="Times New Roman"/>
          <w:b/>
          <w:sz w:val="40"/>
          <w:szCs w:val="40"/>
          <w:lang w:eastAsia="ru-RU"/>
        </w:rPr>
      </w:r>
    </w:p>
    <w:p>
      <w:pPr>
        <w:pStyle w:val="NoSpacing"/>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Spacing"/>
        <w:spacing w:lineRule="auto" w:line="360"/>
        <w:jc w:val="center"/>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Spacing"/>
        <w:spacing w:lineRule="auto" w:line="360"/>
        <w:jc w:val="center"/>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Spacing"/>
        <w:spacing w:lineRule="auto" w:line="360"/>
        <w:jc w:val="center"/>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Spacing"/>
        <w:spacing w:lineRule="auto" w:line="360"/>
        <w:jc w:val="center"/>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Spacing"/>
        <w:spacing w:lineRule="auto" w:line="360"/>
        <w:jc w:val="center"/>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Spacing"/>
        <w:spacing w:lineRule="auto" w:line="360"/>
        <w:jc w:val="center"/>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Spacing"/>
        <w:spacing w:lineRule="auto" w:line="360"/>
        <w:jc w:val="center"/>
        <w:rPr>
          <w:rFonts w:ascii="Times New Roman" w:hAnsi="Times New Roman" w:cs="Times New Roman"/>
          <w:sz w:val="28"/>
          <w:szCs w:val="28"/>
          <w:lang w:eastAsia="ru-RU"/>
        </w:rPr>
      </w:pPr>
      <w:r>
        <w:rPr>
          <w:rFonts w:cs="Times New Roman" w:ascii="Times New Roman" w:hAnsi="Times New Roman"/>
          <w:sz w:val="28"/>
          <w:szCs w:val="28"/>
          <w:lang w:eastAsia="ru-RU"/>
        </w:rPr>
        <w:t xml:space="preserve">Волгоград </w:t>
      </w:r>
    </w:p>
    <w:p>
      <w:pPr>
        <w:pStyle w:val="NoSpacing"/>
        <w:spacing w:lineRule="auto" w:line="360"/>
        <w:jc w:val="center"/>
        <w:rPr>
          <w:rFonts w:ascii="Times New Roman" w:hAnsi="Times New Roman" w:cs="Times New Roman"/>
          <w:sz w:val="28"/>
          <w:szCs w:val="28"/>
          <w:lang w:eastAsia="ru-RU"/>
        </w:rPr>
      </w:pPr>
      <w:r>
        <w:rPr>
          <w:rFonts w:cs="Times New Roman" w:ascii="Times New Roman" w:hAnsi="Times New Roman"/>
          <w:sz w:val="28"/>
          <w:szCs w:val="28"/>
          <w:lang w:eastAsia="ru-RU"/>
        </w:rPr>
        <w:t>-2022-</w:t>
      </w:r>
    </w:p>
    <w:p>
      <w:pPr>
        <w:pStyle w:val="NoSpacing"/>
        <w:spacing w:lineRule="auto" w:line="360"/>
        <w:jc w:val="center"/>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Spacing"/>
        <w:spacing w:lineRule="auto" w:line="360"/>
        <w:jc w:val="center"/>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Spacing"/>
        <w:spacing w:lineRule="auto" w:line="360"/>
        <w:jc w:val="center"/>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Spacing"/>
        <w:spacing w:lineRule="auto" w:line="360"/>
        <w:jc w:val="center"/>
        <w:rPr>
          <w:rFonts w:ascii="Times New Roman" w:hAnsi="Times New Roman" w:cs="Times New Roman"/>
          <w:sz w:val="28"/>
          <w:szCs w:val="28"/>
          <w:lang w:eastAsia="ru-RU"/>
        </w:rPr>
      </w:pPr>
      <w:r>
        <w:rPr>
          <w:rFonts w:cs="Times New Roman" w:ascii="Times New Roman" w:hAnsi="Times New Roman"/>
          <w:sz w:val="28"/>
          <w:szCs w:val="28"/>
          <w:lang w:eastAsia="ru-RU"/>
        </w:rPr>
        <w:t>ВВЕДЕНИЕ</w:t>
      </w:r>
    </w:p>
    <w:p>
      <w:pPr>
        <w:pStyle w:val="NoSpacing"/>
        <w:spacing w:lineRule="auto" w:line="360"/>
        <w:ind w:firstLine="851"/>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В целях оптимизации антропогенного влияния на окружающую среду разработана система долгосрочных наблюдений – мониторинг (от лат. monitor – тот, кто напоминает, предупреждает). Этот термин впервые появился в рекомендациях научного комитета по проблемам окружающей среды при ЮНЕСКО в 1971 году [5]. </w:t>
      </w:r>
    </w:p>
    <w:p>
      <w:pPr>
        <w:pStyle w:val="NoSpacing"/>
        <w:spacing w:lineRule="auto" w:line="360"/>
        <w:ind w:firstLine="851"/>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В России и за рубежом широко распространены методы быстрого мониторинга с использованием дафний. Дафнии используются в качестве тест-объекта не только для токсикологических тестов, но и для долгосрочных оценок воздействия на биоту биологически активных веществ [1, 18].  </w:t>
      </w:r>
    </w:p>
    <w:p>
      <w:pPr>
        <w:pStyle w:val="NoSpacing"/>
        <w:spacing w:lineRule="auto" w:line="360"/>
        <w:ind w:firstLine="851"/>
        <w:jc w:val="both"/>
        <w:rPr>
          <w:rFonts w:ascii="Times New Roman" w:hAnsi="Times New Roman" w:cs="Times New Roman"/>
          <w:sz w:val="28"/>
          <w:szCs w:val="28"/>
          <w:lang w:eastAsia="ru-RU"/>
        </w:rPr>
      </w:pPr>
      <w:r>
        <w:rPr>
          <w:rFonts w:cs="Times New Roman" w:ascii="Times New Roman" w:hAnsi="Times New Roman"/>
          <w:sz w:val="28"/>
          <w:szCs w:val="28"/>
        </w:rPr>
        <w:t xml:space="preserve">Одна из самых острых проблем экологического мониторинга — поиск критериев оценки воздействия факторов среды на гидробионтов. Воздействие веществ чуждой для живых организмов природы в рамках классической токсикологии изучено достаточно подробно, а вещества, имманентно присущие живым организмам, исследованы недостаточно (Кудикина, 2008). </w:t>
      </w:r>
    </w:p>
    <w:p>
      <w:pPr>
        <w:pStyle w:val="NoSpacing"/>
        <w:spacing w:lineRule="auto" w:line="360"/>
        <w:ind w:firstLine="851"/>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В нашей стране, своеобразным  научным центром изучения гормонов на морфо-функциональные особенности онтогенеза беспозвоночных и возможности использования этих показателей в биотестировании, является Балтийский федеральный университет им. И. Канта. Исследователи указывают на недостаточность сведений как о самих гормонах и гормоногенезе у беспозвоночных, так и влиянии гормонов и гормоноподобных веществ экзогенной природы на беспозвоночных и использовании этих данных в биомониторинге. </w:t>
      </w:r>
    </w:p>
    <w:p>
      <w:pPr>
        <w:pStyle w:val="NoSpacing"/>
        <w:spacing w:lineRule="auto" w:line="360"/>
        <w:ind w:firstLine="851"/>
        <w:jc w:val="both"/>
        <w:rPr>
          <w:rFonts w:ascii="Times New Roman" w:hAnsi="Times New Roman" w:cs="Times New Roman"/>
          <w:sz w:val="28"/>
          <w:szCs w:val="28"/>
          <w:lang w:eastAsia="ru-RU"/>
        </w:rPr>
      </w:pPr>
      <w:r>
        <w:rPr>
          <w:rFonts w:cs="Times New Roman" w:ascii="Times New Roman" w:hAnsi="Times New Roman"/>
          <w:sz w:val="28"/>
          <w:szCs w:val="28"/>
        </w:rPr>
        <w:t>Показано, что широкий набор различных по структуре химических соединений, попадающих в окружающую среду, может воздействовать на рецепторы гормонов и вызывать соответствующие эффекты. Они способны обусловливать дисбаланс гормонального гомеостаза, что ведет, например, к изменению плодовитости, феминизации и т. д. Такие последствия возникают при попадании в водоемы некоторых пестицидов, обладающих эстрагеновым и другими гормональными эффектами. Сходство механизмов регуляции роста, размножения, обнаруженное у позвоночных и беспозвоночных, позволяет рекомендовать их в качестве тест-объектов для быстрого обнаружения эффектов подобных веществ. Характер изменения гормонального метаболизма дает возможность предсказать последствия воздействия загрязняющих веществ на основные показатели жизнедеятельности [17].</w:t>
      </w:r>
    </w:p>
    <w:p>
      <w:pPr>
        <w:pStyle w:val="NoSpacing"/>
        <w:spacing w:lineRule="auto" w:line="360"/>
        <w:ind w:firstLine="851"/>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Этим и продиктован наш интерес к данному направлению. </w:t>
      </w:r>
    </w:p>
    <w:p>
      <w:pPr>
        <w:pStyle w:val="NoSpacing"/>
        <w:spacing w:lineRule="auto" w:line="360"/>
        <w:ind w:firstLine="851"/>
        <w:jc w:val="both"/>
        <w:rPr>
          <w:rFonts w:ascii="Times New Roman" w:hAnsi="Times New Roman" w:cs="Times New Roman"/>
          <w:sz w:val="28"/>
          <w:szCs w:val="28"/>
          <w:lang w:eastAsia="ru-RU"/>
        </w:rPr>
      </w:pPr>
      <w:r>
        <w:rPr>
          <w:rFonts w:cs="Times New Roman" w:ascii="Times New Roman" w:hAnsi="Times New Roman"/>
          <w:sz w:val="28"/>
          <w:szCs w:val="28"/>
          <w:lang w:eastAsia="ru-RU"/>
        </w:rPr>
        <w:t>Цель работы: определить характер реакций дафний (</w:t>
      </w:r>
      <w:r>
        <w:rPr>
          <w:rFonts w:cs="Times New Roman" w:ascii="Times New Roman" w:hAnsi="Times New Roman"/>
          <w:i/>
          <w:sz w:val="28"/>
          <w:szCs w:val="28"/>
          <w:lang w:val="en-US" w:eastAsia="ru-RU"/>
        </w:rPr>
        <w:t>Daphnia</w:t>
      </w:r>
      <w:r>
        <w:rPr>
          <w:rFonts w:cs="Times New Roman" w:ascii="Times New Roman" w:hAnsi="Times New Roman"/>
          <w:i/>
          <w:sz w:val="28"/>
          <w:szCs w:val="28"/>
          <w:lang w:eastAsia="ru-RU"/>
        </w:rPr>
        <w:t xml:space="preserve"> </w:t>
      </w:r>
      <w:r>
        <w:rPr>
          <w:rFonts w:cs="Times New Roman" w:ascii="Times New Roman" w:hAnsi="Times New Roman"/>
          <w:i/>
          <w:sz w:val="28"/>
          <w:szCs w:val="28"/>
          <w:lang w:val="en-US" w:eastAsia="ru-RU"/>
        </w:rPr>
        <w:t>magna</w:t>
      </w:r>
      <w:r>
        <w:rPr>
          <w:rFonts w:cs="Times New Roman" w:ascii="Times New Roman" w:hAnsi="Times New Roman"/>
          <w:sz w:val="28"/>
          <w:szCs w:val="28"/>
          <w:lang w:eastAsia="ru-RU"/>
        </w:rPr>
        <w:t xml:space="preserve">) на стероидные гормоны. </w:t>
      </w:r>
    </w:p>
    <w:p>
      <w:pPr>
        <w:pStyle w:val="NoSpacing"/>
        <w:spacing w:lineRule="auto" w:line="360"/>
        <w:ind w:firstLine="851"/>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Задачи: </w:t>
      </w:r>
    </w:p>
    <w:p>
      <w:pPr>
        <w:pStyle w:val="NoSpacing"/>
        <w:spacing w:lineRule="auto" w:line="360"/>
        <w:ind w:firstLine="851"/>
        <w:jc w:val="both"/>
        <w:rPr>
          <w:rFonts w:ascii="Times New Roman" w:hAnsi="Times New Roman" w:cs="Times New Roman"/>
          <w:sz w:val="28"/>
          <w:szCs w:val="28"/>
          <w:lang w:eastAsia="ru-RU"/>
        </w:rPr>
      </w:pPr>
      <w:r>
        <w:rPr>
          <w:rFonts w:cs="Times New Roman" w:ascii="Times New Roman" w:hAnsi="Times New Roman"/>
          <w:sz w:val="28"/>
          <w:szCs w:val="28"/>
          <w:lang w:eastAsia="ru-RU"/>
        </w:rPr>
        <w:t>- определить характер ростовых процессов у дафний под влиянием преднизолона;</w:t>
      </w:r>
    </w:p>
    <w:p>
      <w:pPr>
        <w:pStyle w:val="NoSpacing"/>
        <w:spacing w:lineRule="auto" w:line="360"/>
        <w:ind w:firstLine="851"/>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 изучить особенности кардиореакций у дафний на преднизолон;  </w:t>
      </w:r>
    </w:p>
    <w:p>
      <w:pPr>
        <w:pStyle w:val="NoSpacing"/>
        <w:spacing w:lineRule="auto" w:line="360"/>
        <w:ind w:firstLine="851"/>
        <w:jc w:val="both"/>
        <w:rPr>
          <w:rFonts w:ascii="Times New Roman" w:hAnsi="Times New Roman" w:cs="Times New Roman"/>
          <w:sz w:val="28"/>
          <w:szCs w:val="28"/>
          <w:lang w:eastAsia="ru-RU"/>
        </w:rPr>
      </w:pPr>
      <w:r>
        <w:rPr>
          <w:rFonts w:cs="Times New Roman" w:ascii="Times New Roman" w:hAnsi="Times New Roman"/>
          <w:sz w:val="28"/>
          <w:szCs w:val="28"/>
          <w:lang w:eastAsia="ru-RU"/>
        </w:rPr>
        <w:t>- дать характеристику репродуктивным функциям дафний в опыте с воздействием преднизолона.</w:t>
      </w:r>
    </w:p>
    <w:p>
      <w:pPr>
        <w:pStyle w:val="Normal"/>
        <w:spacing w:lineRule="auto" w:line="276" w:before="0" w:after="200"/>
        <w:ind w:hanging="0"/>
        <w:jc w:val="left"/>
        <w:rPr>
          <w:rFonts w:cs="Times New Roman"/>
          <w:sz w:val="28"/>
          <w:szCs w:val="28"/>
          <w:lang w:eastAsia="ru-RU"/>
        </w:rPr>
      </w:pPr>
      <w:r>
        <w:rPr>
          <w:rFonts w:cs="Times New Roman"/>
          <w:sz w:val="28"/>
          <w:szCs w:val="28"/>
          <w:lang w:eastAsia="ru-RU"/>
        </w:rPr>
      </w:r>
      <w:r>
        <w:br w:type="page"/>
      </w:r>
    </w:p>
    <w:p>
      <w:pPr>
        <w:pStyle w:val="NoSpacing"/>
        <w:spacing w:lineRule="auto" w:line="360"/>
        <w:jc w:val="center"/>
        <w:rPr>
          <w:rFonts w:ascii="Times New Roman" w:hAnsi="Times New Roman" w:cs="Times New Roman"/>
          <w:b/>
          <w:b/>
          <w:sz w:val="28"/>
          <w:szCs w:val="28"/>
          <w:lang w:eastAsia="ru-RU"/>
        </w:rPr>
      </w:pPr>
      <w:r>
        <w:rPr>
          <w:rFonts w:cs="Times New Roman" w:ascii="Times New Roman" w:hAnsi="Times New Roman"/>
          <w:b/>
          <w:sz w:val="28"/>
          <w:szCs w:val="28"/>
          <w:lang w:eastAsia="ru-RU"/>
        </w:rPr>
        <w:t>Глава 1. Обзор литературы</w:t>
      </w:r>
    </w:p>
    <w:p>
      <w:pPr>
        <w:pStyle w:val="NoSpacing"/>
        <w:spacing w:lineRule="auto" w:line="360"/>
        <w:ind w:firstLine="851"/>
        <w:jc w:val="both"/>
        <w:rPr>
          <w:rFonts w:ascii="Times New Roman" w:hAnsi="Times New Roman" w:cs="Times New Roman"/>
          <w:b/>
          <w:b/>
          <w:sz w:val="28"/>
          <w:szCs w:val="28"/>
          <w:lang w:eastAsia="ru-RU"/>
        </w:rPr>
      </w:pPr>
      <w:r>
        <w:rPr>
          <w:rFonts w:cs="Times New Roman" w:ascii="Times New Roman" w:hAnsi="Times New Roman"/>
          <w:b/>
          <w:sz w:val="28"/>
          <w:szCs w:val="28"/>
          <w:lang w:eastAsia="ru-RU"/>
        </w:rPr>
        <w:t xml:space="preserve"> </w:t>
      </w:r>
      <w:r>
        <w:rPr>
          <w:rFonts w:cs="Times New Roman" w:ascii="Times New Roman" w:hAnsi="Times New Roman"/>
          <w:b/>
          <w:sz w:val="28"/>
          <w:szCs w:val="28"/>
          <w:lang w:eastAsia="ru-RU"/>
        </w:rPr>
        <w:t xml:space="preserve">1.1. Характеристика объекта исследования </w:t>
      </w:r>
    </w:p>
    <w:p>
      <w:pPr>
        <w:pStyle w:val="NoSpacing"/>
        <w:spacing w:lineRule="auto" w:line="360"/>
        <w:ind w:firstLine="851"/>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Дафнии – род мелких ракообразных, широко распространённых в пресных водоемах России [16]. </w:t>
      </w:r>
    </w:p>
    <w:p>
      <w:pPr>
        <w:pStyle w:val="NoSpacing"/>
        <w:spacing w:lineRule="auto" w:line="360"/>
        <w:ind w:firstLine="851"/>
        <w:jc w:val="both"/>
        <w:rPr>
          <w:rFonts w:ascii="Times New Roman" w:hAnsi="Times New Roman" w:cs="Times New Roman"/>
          <w:sz w:val="28"/>
          <w:szCs w:val="28"/>
          <w:lang w:eastAsia="ru-RU"/>
        </w:rPr>
      </w:pPr>
      <w:r>
        <w:rPr>
          <w:rFonts w:cs="Times New Roman" w:ascii="Times New Roman" w:hAnsi="Times New Roman"/>
          <w:i/>
          <w:sz w:val="28"/>
          <w:szCs w:val="28"/>
          <w:lang w:val="en-US" w:eastAsia="ru-RU"/>
        </w:rPr>
        <w:t>Daphnia</w:t>
      </w:r>
      <w:r>
        <w:rPr>
          <w:rFonts w:cs="Times New Roman" w:ascii="Times New Roman" w:hAnsi="Times New Roman"/>
          <w:i/>
          <w:sz w:val="28"/>
          <w:szCs w:val="28"/>
          <w:lang w:eastAsia="ru-RU"/>
        </w:rPr>
        <w:t xml:space="preserve"> </w:t>
      </w:r>
      <w:r>
        <w:rPr>
          <w:rFonts w:cs="Times New Roman" w:ascii="Times New Roman" w:hAnsi="Times New Roman"/>
          <w:i/>
          <w:sz w:val="28"/>
          <w:szCs w:val="28"/>
          <w:lang w:val="en-US" w:eastAsia="ru-RU"/>
        </w:rPr>
        <w:t>magna</w:t>
      </w:r>
      <w:r>
        <w:rPr>
          <w:rFonts w:cs="Times New Roman" w:ascii="Times New Roman" w:hAnsi="Times New Roman"/>
          <w:sz w:val="28"/>
          <w:szCs w:val="28"/>
          <w:lang w:eastAsia="ru-RU"/>
        </w:rPr>
        <w:t xml:space="preserve"> – наиболее крупный представитель рода. Большая дафния достигает 6 мм в дину. Это делает объект очень удобным для наблюдения и проведения измерений. </w:t>
      </w:r>
    </w:p>
    <w:p>
      <w:pPr>
        <w:pStyle w:val="NoSpacing"/>
        <w:spacing w:lineRule="auto" w:line="360"/>
        <w:ind w:firstLine="851"/>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Тело дафнии заключено в двустворчатый прозрачный карапакс. Это является преимуществом объекта исследования, т.к. можно хорошо рассмотреть внутренние органы, не прибегая к дополнительным методам микротехники. </w:t>
      </w:r>
    </w:p>
    <w:p>
      <w:pPr>
        <w:pStyle w:val="NoSpacing"/>
        <w:spacing w:lineRule="auto" w:line="360"/>
        <w:ind w:firstLine="851"/>
        <w:jc w:val="both"/>
        <w:rPr>
          <w:rFonts w:ascii="Times New Roman" w:hAnsi="Times New Roman" w:cs="Times New Roman"/>
          <w:sz w:val="28"/>
          <w:szCs w:val="28"/>
          <w:lang w:eastAsia="ru-RU"/>
        </w:rPr>
      </w:pPr>
      <w:r>
        <w:rPr>
          <w:rFonts w:cs="Times New Roman" w:ascii="Times New Roman" w:hAnsi="Times New Roman"/>
          <w:sz w:val="28"/>
          <w:szCs w:val="28"/>
          <w:lang w:eastAsia="ru-RU"/>
        </w:rPr>
        <w:t>Дафнии имеют обычный органокомплекс, характерный для ракообразных. Важным диагностическим преимуществом является наличие простого сердца на задней стороне тела, которое не прикрыто иными органами. Это дает возможность визуализировать сердце без дополнительных методов препарирования.</w:t>
      </w:r>
    </w:p>
    <w:p>
      <w:pPr>
        <w:pStyle w:val="NoSpacing"/>
        <w:spacing w:lineRule="auto" w:line="360"/>
        <w:ind w:firstLine="851"/>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Важной особенностью дафний, которая может быть использована при биотестировании – наличие партеногенетических поколений. </w:t>
      </w:r>
      <w:r>
        <w:rPr>
          <w:rFonts w:cs="Times New Roman" w:ascii="Times New Roman" w:hAnsi="Times New Roman"/>
          <w:sz w:val="28"/>
          <w:szCs w:val="28"/>
        </w:rPr>
        <w:t xml:space="preserve">При благоприятных условиях развивается несколько партеногенетических поколений.  Неоплодотворенные яйца откладываются в выводковую камеру, а из них выходят молодые рачки, приступающие к самостоятельной жизни. При наступлении неблагоприятных  условий, самки откладывают первую порцию неоплодотворенных яиц, из которых развиваются только самцы. Те же самки через некоторое время откладывают вторую порцию яиц, которые при созревании прошли мейоз и получили гаплоидный набор хромосом. Такая особенность размножения дафний делает выборку рачков более или менее универсальной в части направления физиологических реакций на тот или иной фактор, т.к. они имеют единый генотип. </w:t>
      </w:r>
    </w:p>
    <w:p>
      <w:pPr>
        <w:pStyle w:val="NoSpacing"/>
        <w:spacing w:lineRule="auto" w:line="360"/>
        <w:ind w:firstLine="851"/>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Spacing"/>
        <w:spacing w:lineRule="auto" w:line="360"/>
        <w:ind w:firstLine="851"/>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Spacing"/>
        <w:spacing w:lineRule="auto" w:line="360"/>
        <w:ind w:firstLine="851"/>
        <w:jc w:val="both"/>
        <w:rPr>
          <w:rFonts w:ascii="Times New Roman" w:hAnsi="Times New Roman" w:cs="Times New Roman"/>
          <w:sz w:val="28"/>
          <w:szCs w:val="28"/>
          <w:lang w:eastAsia="ru-RU"/>
        </w:rPr>
      </w:pPr>
      <w:r>
        <w:rPr>
          <w:rFonts w:cs="Times New Roman" w:ascii="Times New Roman" w:hAnsi="Times New Roman"/>
          <w:b/>
          <w:sz w:val="28"/>
          <w:szCs w:val="28"/>
          <w:lang w:eastAsia="ru-RU"/>
        </w:rPr>
        <w:t xml:space="preserve"> </w:t>
      </w:r>
      <w:r>
        <w:rPr>
          <w:rFonts w:cs="Times New Roman" w:ascii="Times New Roman" w:hAnsi="Times New Roman"/>
          <w:b/>
          <w:sz w:val="28"/>
          <w:szCs w:val="28"/>
          <w:lang w:eastAsia="ru-RU"/>
        </w:rPr>
        <w:t>1.2. Общая характеристика эндокринной функции у  беспозвоночных животных</w:t>
      </w:r>
    </w:p>
    <w:p>
      <w:pPr>
        <w:pStyle w:val="NoSpacing"/>
        <w:spacing w:lineRule="auto" w:line="360"/>
        <w:ind w:firstLine="851"/>
        <w:jc w:val="both"/>
        <w:rPr>
          <w:rFonts w:ascii="Times New Roman" w:hAnsi="Times New Roman" w:cs="Times New Roman"/>
          <w:sz w:val="28"/>
          <w:szCs w:val="28"/>
        </w:rPr>
      </w:pPr>
      <w:r>
        <w:rPr>
          <w:rFonts w:cs="Times New Roman" w:ascii="Times New Roman" w:hAnsi="Times New Roman"/>
          <w:sz w:val="28"/>
          <w:szCs w:val="28"/>
        </w:rPr>
        <w:t xml:space="preserve">В ходе исторического развития животных, особенно при переходе отодноклеточности к многоклеточности, сформировался вполне обособленный аппарат гуморального управления – эндокринная система. Высшего развития она достигает у позвоночных. </w:t>
      </w:r>
    </w:p>
    <w:p>
      <w:pPr>
        <w:pStyle w:val="NoSpacing"/>
        <w:spacing w:lineRule="auto" w:line="360"/>
        <w:ind w:firstLine="851"/>
        <w:jc w:val="both"/>
        <w:rPr>
          <w:rFonts w:ascii="Times New Roman" w:hAnsi="Times New Roman" w:cs="Times New Roman"/>
          <w:sz w:val="28"/>
          <w:szCs w:val="28"/>
        </w:rPr>
      </w:pPr>
      <w:r>
        <w:rPr>
          <w:rFonts w:cs="Times New Roman" w:ascii="Times New Roman" w:hAnsi="Times New Roman"/>
          <w:sz w:val="28"/>
          <w:szCs w:val="28"/>
        </w:rPr>
        <w:t>Гормональная регуляция, в отличие от нервной, направлена, преж</w:t>
        <w:softHyphen/>
        <w:t>де всего, на медленно протекающие реакции в организме, поэтому ей принадлежит главенствующая роль в регуляции формообразователь</w:t>
        <w:softHyphen/>
        <w:t>ных процессов таких как рост, обмен веществ, размножение, дифференцировка, линька, репродукция и т.д. [2].</w:t>
      </w:r>
    </w:p>
    <w:p>
      <w:pPr>
        <w:pStyle w:val="NoSpacing"/>
        <w:spacing w:lineRule="auto" w:line="360"/>
        <w:ind w:firstLine="851"/>
        <w:jc w:val="both"/>
        <w:rPr>
          <w:rFonts w:ascii="Times New Roman" w:hAnsi="Times New Roman" w:cs="Times New Roman"/>
          <w:sz w:val="28"/>
          <w:szCs w:val="28"/>
        </w:rPr>
      </w:pPr>
      <w:r>
        <w:rPr>
          <w:rFonts w:cs="Times New Roman" w:ascii="Times New Roman" w:hAnsi="Times New Roman"/>
          <w:sz w:val="28"/>
          <w:szCs w:val="28"/>
        </w:rPr>
        <w:t xml:space="preserve">В эволюционном ряду беспозвоночных животных самостоятельно оформленные эндокринные железы впервые появляются у кольчатых червей. Наиболее хорошо изучены эндокринные железы у ракообразных и насекомых [9, 10, 11]. </w:t>
      </w:r>
    </w:p>
    <w:p>
      <w:pPr>
        <w:pStyle w:val="NoSpacing"/>
        <w:spacing w:lineRule="auto" w:line="360"/>
        <w:ind w:firstLine="851"/>
        <w:jc w:val="both"/>
        <w:rPr>
          <w:rFonts w:ascii="Times New Roman" w:hAnsi="Times New Roman" w:cs="Times New Roman"/>
          <w:sz w:val="28"/>
          <w:szCs w:val="28"/>
        </w:rPr>
      </w:pPr>
      <w:r>
        <w:rPr>
          <w:rFonts w:cs="Times New Roman" w:ascii="Times New Roman" w:hAnsi="Times New Roman"/>
          <w:sz w:val="28"/>
          <w:szCs w:val="28"/>
        </w:rPr>
        <w:t xml:space="preserve">Наряду с другими группами высших  беспозвоночных, у ракообразных  обнаружены две группы гормонов, которые участвуют в реализации основных жизненных функций. В первую группу входят нейросекреторные гормоны пептидной природы. Вторую группу составляют стеридные гормоны, секретируемые вне клеток нервной системы [4]. </w:t>
      </w:r>
    </w:p>
    <w:p>
      <w:pPr>
        <w:pStyle w:val="NoSpacing"/>
        <w:spacing w:lineRule="auto" w:line="360"/>
        <w:ind w:firstLine="851"/>
        <w:jc w:val="both"/>
        <w:rPr>
          <w:rFonts w:ascii="Times New Roman" w:hAnsi="Times New Roman" w:cs="Times New Roman"/>
          <w:sz w:val="28"/>
          <w:szCs w:val="28"/>
        </w:rPr>
      </w:pPr>
      <w:r>
        <w:rPr>
          <w:rFonts w:cs="Times New Roman" w:ascii="Times New Roman" w:hAnsi="Times New Roman"/>
          <w:sz w:val="28"/>
          <w:szCs w:val="28"/>
        </w:rPr>
        <w:t xml:space="preserve">Были выявлены количественные различия стероидных гормонов в зависимости от жизненной стадии беспозвоночных, наличия у них полового диморфизма, возраста. Совокупность этих  данных позволяет  предполагать физиологическую значимость разных групп  стероидов в организме беспозвоночных животных. Таких сведений в  литературе немного. В основном они ограничены данными о влиянии экзогенных половых стероидов и гидрокортизона позвоночных животных на гомеостаз и активность гаметогенеза [6]. </w:t>
      </w:r>
    </w:p>
    <w:p>
      <w:pPr>
        <w:pStyle w:val="Normal"/>
        <w:spacing w:lineRule="auto" w:line="276" w:before="0" w:after="200"/>
        <w:ind w:hanging="0"/>
        <w:jc w:val="left"/>
        <w:rPr>
          <w:rFonts w:cs="Times New Roman"/>
          <w:sz w:val="28"/>
          <w:szCs w:val="28"/>
        </w:rPr>
      </w:pPr>
      <w:r>
        <w:rPr>
          <w:rFonts w:cs="Times New Roman"/>
          <w:sz w:val="28"/>
          <w:szCs w:val="28"/>
        </w:rPr>
      </w:r>
      <w:r>
        <w:br w:type="page"/>
      </w:r>
    </w:p>
    <w:p>
      <w:pPr>
        <w:pStyle w:val="NoSpacing"/>
        <w:spacing w:lineRule="auto" w:line="360"/>
        <w:jc w:val="center"/>
        <w:rPr>
          <w:rFonts w:ascii="Times New Roman" w:hAnsi="Times New Roman" w:cs="Times New Roman"/>
          <w:b/>
          <w:b/>
          <w:sz w:val="28"/>
          <w:szCs w:val="28"/>
        </w:rPr>
      </w:pPr>
      <w:r>
        <w:rPr>
          <w:rFonts w:cs="Times New Roman" w:ascii="Times New Roman" w:hAnsi="Times New Roman"/>
          <w:b/>
          <w:sz w:val="28"/>
          <w:szCs w:val="28"/>
        </w:rPr>
        <w:t xml:space="preserve">Глава </w:t>
      </w:r>
      <w:r>
        <w:rPr>
          <w:rFonts w:cs="Times New Roman" w:ascii="Times New Roman" w:hAnsi="Times New Roman"/>
          <w:b/>
          <w:sz w:val="28"/>
          <w:szCs w:val="28"/>
          <w:lang w:val="en-US"/>
        </w:rPr>
        <w:t>II</w:t>
      </w:r>
      <w:r>
        <w:rPr>
          <w:rFonts w:cs="Times New Roman" w:ascii="Times New Roman" w:hAnsi="Times New Roman"/>
          <w:b/>
          <w:sz w:val="28"/>
          <w:szCs w:val="28"/>
        </w:rPr>
        <w:t xml:space="preserve">. Материал и методы исследования </w:t>
      </w:r>
    </w:p>
    <w:p>
      <w:pPr>
        <w:pStyle w:val="NoSpacing"/>
        <w:spacing w:lineRule="auto" w:line="360"/>
        <w:ind w:firstLine="851"/>
        <w:jc w:val="both"/>
        <w:rPr>
          <w:rFonts w:ascii="Times New Roman" w:hAnsi="Times New Roman" w:cs="Times New Roman"/>
          <w:sz w:val="28"/>
          <w:szCs w:val="28"/>
        </w:rPr>
      </w:pPr>
      <w:r>
        <w:rPr>
          <w:rFonts w:cs="Times New Roman" w:ascii="Times New Roman" w:hAnsi="Times New Roman"/>
          <w:sz w:val="28"/>
          <w:szCs w:val="28"/>
        </w:rPr>
        <w:t xml:space="preserve">В качестве материала исследования послужили рачки  эксперименте использовали рачков </w:t>
      </w:r>
      <w:r>
        <w:rPr>
          <w:rFonts w:cs="Times New Roman" w:ascii="Times New Roman" w:hAnsi="Times New Roman"/>
          <w:i/>
          <w:sz w:val="28"/>
          <w:szCs w:val="28"/>
        </w:rPr>
        <w:t xml:space="preserve">D. magna </w:t>
      </w:r>
      <w:r>
        <w:rPr>
          <w:rFonts w:cs="Times New Roman" w:ascii="Times New Roman" w:hAnsi="Times New Roman"/>
          <w:sz w:val="28"/>
          <w:szCs w:val="28"/>
        </w:rPr>
        <w:t>Str</w:t>
      </w:r>
      <w:r>
        <w:rPr>
          <w:rFonts w:cs="Times New Roman" w:ascii="Times New Roman" w:hAnsi="Times New Roman"/>
          <w:i/>
          <w:sz w:val="28"/>
          <w:szCs w:val="28"/>
        </w:rPr>
        <w:t xml:space="preserve">. </w:t>
      </w:r>
      <w:r>
        <w:rPr>
          <w:rFonts w:cs="Times New Roman" w:ascii="Times New Roman" w:hAnsi="Times New Roman"/>
          <w:sz w:val="28"/>
          <w:szCs w:val="28"/>
        </w:rPr>
        <w:t xml:space="preserve">(Cladocera, Crustacea) в возрасте 2—3 дней с линейными размерами 0,7—1,3 мм из лабораторной культуры. Каждый эксперимент длился 28 суток [7]. </w:t>
      </w:r>
    </w:p>
    <w:p>
      <w:pPr>
        <w:pStyle w:val="NoSpacing"/>
        <w:spacing w:lineRule="auto" w:line="360"/>
        <w:ind w:firstLine="851"/>
        <w:jc w:val="both"/>
        <w:rPr>
          <w:rFonts w:ascii="Times New Roman" w:hAnsi="Times New Roman" w:cs="Times New Roman"/>
          <w:sz w:val="28"/>
          <w:szCs w:val="28"/>
        </w:rPr>
      </w:pPr>
      <w:r>
        <w:rPr>
          <w:rFonts w:cs="Times New Roman" w:ascii="Times New Roman" w:hAnsi="Times New Roman"/>
          <w:sz w:val="28"/>
          <w:szCs w:val="28"/>
        </w:rPr>
        <w:t xml:space="preserve">В качестве гормонального препарата нами использован гормон стероидной природы – преднизолон. Выбор гормона стероидной природы обусловлен более длительными воздействиями по сравнению с гормонами пептидной природы. </w:t>
      </w:r>
    </w:p>
    <w:p>
      <w:pPr>
        <w:pStyle w:val="NoSpacing"/>
        <w:spacing w:lineRule="auto" w:line="360"/>
        <w:ind w:firstLine="851"/>
        <w:jc w:val="both"/>
        <w:rPr>
          <w:rFonts w:ascii="Times New Roman" w:hAnsi="Times New Roman" w:cs="Times New Roman"/>
          <w:sz w:val="28"/>
          <w:szCs w:val="28"/>
        </w:rPr>
      </w:pPr>
      <w:r>
        <w:rPr>
          <w:rFonts w:cs="Times New Roman" w:ascii="Times New Roman" w:hAnsi="Times New Roman"/>
          <w:sz w:val="28"/>
          <w:szCs w:val="28"/>
        </w:rPr>
        <w:t xml:space="preserve">Экспериментальную среду получали внесением аптечной формы преднизолона в отстоянную воду с дафниями. </w:t>
      </w:r>
    </w:p>
    <w:p>
      <w:pPr>
        <w:pStyle w:val="Normal"/>
        <w:spacing w:lineRule="auto" w:line="360"/>
        <w:ind w:firstLine="851"/>
        <w:rPr>
          <w:rFonts w:cs="Times New Roman"/>
          <w:sz w:val="28"/>
          <w:szCs w:val="28"/>
        </w:rPr>
      </w:pPr>
      <w:r>
        <w:rPr>
          <w:rFonts w:cs="Times New Roman"/>
          <w:sz w:val="28"/>
          <w:szCs w:val="28"/>
        </w:rPr>
        <w:t xml:space="preserve">Стандартной средой для содержания контрольных животных служила дехлорированная вода. Животные содержались в сосудах емкостью 500 мл при температуре 19-20°С.  Плотность посадки составляла 50 особей на указанный объем. Вода частично заменялась на чистую по мере загрязнения.  </w:t>
      </w:r>
    </w:p>
    <w:p>
      <w:pPr>
        <w:pStyle w:val="Normal"/>
        <w:spacing w:lineRule="auto" w:line="360"/>
        <w:ind w:firstLine="851"/>
        <w:rPr>
          <w:rFonts w:cs="Times New Roman"/>
          <w:sz w:val="28"/>
          <w:szCs w:val="28"/>
        </w:rPr>
      </w:pPr>
      <w:r>
        <w:rPr>
          <w:rFonts w:cs="Times New Roman"/>
          <w:sz w:val="28"/>
          <w:szCs w:val="28"/>
        </w:rPr>
        <w:t xml:space="preserve">Кормили дафний обоих групп суспензией сухих дрожжей одной марки до едва заметного помутнения воды с периодичностью 48 ч. Численность особей контрольной и экспериментальной групп составили по 100 рачков в каждой генерации. </w:t>
      </w:r>
    </w:p>
    <w:p>
      <w:pPr>
        <w:pStyle w:val="Normal"/>
        <w:spacing w:lineRule="auto" w:line="360"/>
        <w:ind w:firstLine="851"/>
        <w:rPr>
          <w:rFonts w:cs="Times New Roman"/>
          <w:sz w:val="28"/>
          <w:szCs w:val="28"/>
        </w:rPr>
      </w:pPr>
      <w:r>
        <w:rPr>
          <w:rFonts w:cs="Times New Roman"/>
          <w:sz w:val="28"/>
          <w:szCs w:val="28"/>
        </w:rPr>
        <w:t>Характер воздействия препарата изучался на двух последовательных партеногенетических поколениях дафний: родительское поколение (P), первое (F1) дочернее поколение. Препарат вносили в первые сутки эксперимента, и исследуемые показатели регистрировали один раз каждые три дня после начала</w:t>
      </w:r>
    </w:p>
    <w:p>
      <w:pPr>
        <w:pStyle w:val="NoSpacing"/>
        <w:spacing w:lineRule="auto" w:line="360"/>
        <w:jc w:val="both"/>
        <w:rPr>
          <w:rFonts w:ascii="Times New Roman" w:hAnsi="Times New Roman" w:cs="Times New Roman"/>
          <w:sz w:val="28"/>
          <w:szCs w:val="28"/>
        </w:rPr>
      </w:pPr>
      <w:r>
        <w:rPr>
          <w:rFonts w:cs="Times New Roman" w:ascii="Times New Roman" w:hAnsi="Times New Roman"/>
          <w:sz w:val="28"/>
          <w:szCs w:val="28"/>
        </w:rPr>
        <w:t xml:space="preserve">опыта. Исследовали характер влияния преднизолона на линейный рост дафний (мм), частоту сердечных сокращений (ЧСС, уд./мин), плодовитость (число яиц в выводковых камерах, экз. яиц/самку).  </w:t>
      </w:r>
    </w:p>
    <w:p>
      <w:pPr>
        <w:pStyle w:val="NoSpacing"/>
        <w:spacing w:lineRule="auto" w:line="360"/>
        <w:ind w:firstLine="851"/>
        <w:jc w:val="both"/>
        <w:rPr>
          <w:rFonts w:ascii="Times New Roman" w:hAnsi="Times New Roman" w:cs="Times New Roman"/>
          <w:sz w:val="28"/>
          <w:szCs w:val="28"/>
        </w:rPr>
      </w:pPr>
      <w:r>
        <w:rPr>
          <w:rFonts w:cs="Times New Roman" w:ascii="Times New Roman" w:hAnsi="Times New Roman"/>
          <w:sz w:val="28"/>
          <w:szCs w:val="28"/>
        </w:rPr>
        <w:t>Цифровые данные обрабатывались стандартными статистическими методами с использованием критерия Стьюдента при уровне доcтоверности 95 % [13].</w:t>
      </w:r>
    </w:p>
    <w:p>
      <w:pPr>
        <w:pStyle w:val="NoSpacing"/>
        <w:spacing w:lineRule="auto" w:line="360"/>
        <w:ind w:firstLine="851"/>
        <w:jc w:val="both"/>
        <w:rPr>
          <w:rFonts w:ascii="Times New Roman" w:hAnsi="Times New Roman" w:cs="Times New Roman"/>
          <w:sz w:val="28"/>
          <w:szCs w:val="28"/>
          <w:lang w:eastAsia="ru-RU"/>
        </w:rPr>
      </w:pPr>
      <w:r>
        <w:rPr>
          <w:rFonts w:cs="Times New Roman" w:ascii="Times New Roman" w:hAnsi="Times New Roman"/>
          <w:sz w:val="28"/>
          <w:szCs w:val="28"/>
          <w:lang w:eastAsia="ru-RU"/>
        </w:rPr>
      </w:r>
      <w:r>
        <w:br w:type="page"/>
      </w:r>
    </w:p>
    <w:p>
      <w:pPr>
        <w:pStyle w:val="NoSpacing"/>
        <w:spacing w:lineRule="auto" w:line="360"/>
        <w:jc w:val="center"/>
        <w:rPr>
          <w:rFonts w:ascii="Times New Roman" w:hAnsi="Times New Roman" w:cs="Times New Roman"/>
          <w:b/>
          <w:b/>
          <w:sz w:val="28"/>
          <w:szCs w:val="28"/>
          <w:lang w:eastAsia="ru-RU"/>
        </w:rPr>
      </w:pPr>
      <w:r>
        <w:rPr>
          <w:rFonts w:cs="Times New Roman" w:ascii="Times New Roman" w:hAnsi="Times New Roman"/>
          <w:b/>
          <w:sz w:val="28"/>
          <w:szCs w:val="28"/>
          <w:lang w:eastAsia="ru-RU"/>
        </w:rPr>
        <w:t xml:space="preserve">Глава </w:t>
      </w:r>
      <w:r>
        <w:rPr>
          <w:rFonts w:cs="Times New Roman" w:ascii="Times New Roman" w:hAnsi="Times New Roman"/>
          <w:b/>
          <w:sz w:val="28"/>
          <w:szCs w:val="28"/>
          <w:lang w:val="en-US" w:eastAsia="ru-RU"/>
        </w:rPr>
        <w:t>III</w:t>
      </w:r>
      <w:r>
        <w:rPr>
          <w:rFonts w:cs="Times New Roman" w:ascii="Times New Roman" w:hAnsi="Times New Roman"/>
          <w:b/>
          <w:sz w:val="28"/>
          <w:szCs w:val="28"/>
          <w:lang w:eastAsia="ru-RU"/>
        </w:rPr>
        <w:t xml:space="preserve">. Результаты и их обсуждения. </w:t>
      </w:r>
    </w:p>
    <w:p>
      <w:pPr>
        <w:pStyle w:val="NoSpacing"/>
        <w:spacing w:lineRule="auto" w:line="360"/>
        <w:ind w:firstLine="851"/>
        <w:jc w:val="both"/>
        <w:rPr>
          <w:rFonts w:ascii="Times New Roman" w:hAnsi="Times New Roman" w:cs="Times New Roman"/>
          <w:b/>
          <w:b/>
          <w:sz w:val="28"/>
          <w:szCs w:val="28"/>
        </w:rPr>
      </w:pPr>
      <w:r>
        <w:rPr>
          <w:rFonts w:cs="Times New Roman" w:ascii="Times New Roman" w:hAnsi="Times New Roman"/>
          <w:b/>
          <w:sz w:val="28"/>
          <w:szCs w:val="28"/>
          <w:lang w:eastAsia="ru-RU"/>
        </w:rPr>
        <w:t xml:space="preserve">3.1. </w:t>
      </w:r>
      <w:r>
        <w:rPr>
          <w:rFonts w:cs="Times New Roman" w:ascii="Times New Roman" w:hAnsi="Times New Roman"/>
          <w:b/>
          <w:sz w:val="28"/>
          <w:szCs w:val="28"/>
        </w:rPr>
        <w:t>Характер влияния преднизолона на линейный рост дафний</w:t>
      </w:r>
    </w:p>
    <w:p>
      <w:pPr>
        <w:pStyle w:val="NoSpacing"/>
        <w:spacing w:lineRule="auto" w:line="360"/>
        <w:ind w:firstLine="851"/>
        <w:jc w:val="both"/>
        <w:rPr>
          <w:rFonts w:ascii="Times New Roman" w:hAnsi="Times New Roman" w:cs="Times New Roman"/>
          <w:sz w:val="28"/>
          <w:szCs w:val="28"/>
        </w:rPr>
      </w:pPr>
      <w:r>
        <w:rPr>
          <w:rFonts w:cs="Times New Roman" w:ascii="Times New Roman" w:hAnsi="Times New Roman"/>
          <w:sz w:val="28"/>
          <w:szCs w:val="28"/>
        </w:rPr>
        <w:t xml:space="preserve">Характер соматических реакций дафний в контрольной и опытной группах отличался. Как в опыте с  родительским поколением, так и в опыте с  первым поколением рачков,  линейные размеры были несколько больше, чем, в контрольных группах (табл. 1). </w:t>
      </w:r>
    </w:p>
    <w:p>
      <w:pPr>
        <w:pStyle w:val="NoSpacing"/>
        <w:spacing w:lineRule="auto" w:line="360"/>
        <w:ind w:firstLine="851"/>
        <w:jc w:val="right"/>
        <w:rPr>
          <w:rFonts w:ascii="Times New Roman" w:hAnsi="Times New Roman" w:cs="Times New Roman"/>
          <w:sz w:val="24"/>
          <w:szCs w:val="24"/>
        </w:rPr>
      </w:pPr>
      <w:r>
        <w:rPr>
          <w:rFonts w:cs="Times New Roman" w:ascii="Times New Roman" w:hAnsi="Times New Roman"/>
          <w:i/>
          <w:sz w:val="24"/>
          <w:szCs w:val="24"/>
        </w:rPr>
        <w:t>Таблица 1. Изменение линейных размеров рачков (средние показатели, мм)</w:t>
      </w:r>
    </w:p>
    <w:tbl>
      <w:tblPr>
        <w:tblStyle w:val="a9"/>
        <w:tblW w:w="985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56"/>
        <w:gridCol w:w="891"/>
        <w:gridCol w:w="888"/>
        <w:gridCol w:w="888"/>
        <w:gridCol w:w="889"/>
        <w:gridCol w:w="893"/>
        <w:gridCol w:w="890"/>
        <w:gridCol w:w="889"/>
        <w:gridCol w:w="890"/>
        <w:gridCol w:w="893"/>
        <w:gridCol w:w="884"/>
      </w:tblGrid>
      <w:tr>
        <w:trPr/>
        <w:tc>
          <w:tcPr>
            <w:tcW w:w="956" w:type="dxa"/>
            <w:vMerge w:val="restart"/>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Группа</w:t>
            </w:r>
          </w:p>
        </w:tc>
        <w:tc>
          <w:tcPr>
            <w:tcW w:w="8895" w:type="dxa"/>
            <w:gridSpan w:val="10"/>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Дни исследования </w:t>
            </w:r>
          </w:p>
        </w:tc>
      </w:tr>
      <w:tr>
        <w:trPr/>
        <w:tc>
          <w:tcPr>
            <w:tcW w:w="956" w:type="dxa"/>
            <w:vMerge w:val="continue"/>
            <w:tcBorders/>
          </w:tcPr>
          <w:p>
            <w:pPr>
              <w:pStyle w:val="NoSpacing"/>
              <w:widowControl w:val="false"/>
              <w:suppressAutoHyphens w:val="true"/>
              <w:spacing w:before="0" w:after="0"/>
              <w:jc w:val="left"/>
              <w:rPr>
                <w:rFonts w:ascii="Times New Roman" w:hAnsi="Times New Roman" w:cs="Times New Roman"/>
                <w:sz w:val="24"/>
                <w:szCs w:val="24"/>
              </w:rPr>
            </w:pPr>
            <w:r>
              <w:rPr>
                <w:rFonts w:cs="Times New Roman" w:ascii="Times New Roman" w:hAnsi="Times New Roman"/>
                <w:sz w:val="24"/>
                <w:szCs w:val="24"/>
              </w:rPr>
            </w:r>
          </w:p>
        </w:tc>
        <w:tc>
          <w:tcPr>
            <w:tcW w:w="891"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88"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88"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889"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893"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12</w:t>
            </w:r>
          </w:p>
        </w:tc>
        <w:tc>
          <w:tcPr>
            <w:tcW w:w="890"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15</w:t>
            </w:r>
          </w:p>
        </w:tc>
        <w:tc>
          <w:tcPr>
            <w:tcW w:w="889"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18</w:t>
            </w:r>
          </w:p>
        </w:tc>
        <w:tc>
          <w:tcPr>
            <w:tcW w:w="890"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21</w:t>
            </w:r>
          </w:p>
        </w:tc>
        <w:tc>
          <w:tcPr>
            <w:tcW w:w="893"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24</w:t>
            </w:r>
          </w:p>
        </w:tc>
        <w:tc>
          <w:tcPr>
            <w:tcW w:w="884"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27</w:t>
            </w:r>
          </w:p>
        </w:tc>
      </w:tr>
      <w:tr>
        <w:trPr/>
        <w:tc>
          <w:tcPr>
            <w:tcW w:w="956" w:type="dxa"/>
            <w:tcBorders/>
            <w:shd w:color="auto" w:fill="FFFF00" w:val="clear"/>
          </w:tcPr>
          <w:p>
            <w:pPr>
              <w:pStyle w:val="NoSpacing"/>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w:t>
            </w:r>
            <w:r>
              <w:rPr>
                <w:rFonts w:eastAsia="Calibri" w:cs="Times New Roman" w:ascii="Times New Roman" w:hAnsi="Times New Roman"/>
                <w:kern w:val="0"/>
                <w:sz w:val="24"/>
                <w:szCs w:val="24"/>
                <w:vertAlign w:val="subscript"/>
                <w:lang w:val="ru-RU" w:eastAsia="en-US" w:bidi="ar-SA"/>
              </w:rPr>
              <w:t>к</w:t>
            </w:r>
          </w:p>
        </w:tc>
        <w:tc>
          <w:tcPr>
            <w:tcW w:w="891"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1,0</w:t>
            </w:r>
          </w:p>
        </w:tc>
        <w:tc>
          <w:tcPr>
            <w:tcW w:w="888"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1,3</w:t>
            </w:r>
          </w:p>
        </w:tc>
        <w:tc>
          <w:tcPr>
            <w:tcW w:w="888"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1,6</w:t>
            </w:r>
          </w:p>
        </w:tc>
        <w:tc>
          <w:tcPr>
            <w:tcW w:w="889"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1,9</w:t>
            </w:r>
          </w:p>
        </w:tc>
        <w:tc>
          <w:tcPr>
            <w:tcW w:w="893"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2,2</w:t>
            </w:r>
          </w:p>
        </w:tc>
        <w:tc>
          <w:tcPr>
            <w:tcW w:w="890"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2,4*</w:t>
            </w:r>
          </w:p>
        </w:tc>
        <w:tc>
          <w:tcPr>
            <w:tcW w:w="889"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2,8*</w:t>
            </w:r>
          </w:p>
        </w:tc>
        <w:tc>
          <w:tcPr>
            <w:tcW w:w="890"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3,0*</w:t>
            </w:r>
          </w:p>
        </w:tc>
        <w:tc>
          <w:tcPr>
            <w:tcW w:w="893"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3,3*</w:t>
            </w:r>
          </w:p>
        </w:tc>
        <w:tc>
          <w:tcPr>
            <w:tcW w:w="884"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3,9*</w:t>
            </w:r>
          </w:p>
        </w:tc>
      </w:tr>
      <w:tr>
        <w:trPr/>
        <w:tc>
          <w:tcPr>
            <w:tcW w:w="956" w:type="dxa"/>
            <w:tcBorders/>
          </w:tcPr>
          <w:p>
            <w:pPr>
              <w:pStyle w:val="NoSpacing"/>
              <w:widowControl w:val="false"/>
              <w:suppressAutoHyphens w:val="true"/>
              <w:spacing w:before="0" w:after="0"/>
              <w:jc w:val="left"/>
              <w:rPr>
                <w:rFonts w:ascii="Times New Roman" w:hAnsi="Times New Roman" w:cs="Times New Roman"/>
                <w:sz w:val="24"/>
                <w:szCs w:val="24"/>
                <w:vertAlign w:val="subscript"/>
              </w:rPr>
            </w:pPr>
            <w:r>
              <w:rPr>
                <w:rFonts w:eastAsia="Calibri" w:cs="Times New Roman" w:ascii="Times New Roman" w:hAnsi="Times New Roman"/>
                <w:kern w:val="0"/>
                <w:sz w:val="24"/>
                <w:szCs w:val="24"/>
                <w:lang w:val="ru-RU" w:eastAsia="en-US" w:bidi="ar-SA"/>
              </w:rPr>
              <w:t>Р</w:t>
            </w:r>
            <w:r>
              <w:rPr>
                <w:rFonts w:eastAsia="Calibri" w:cs="Times New Roman" w:ascii="Times New Roman" w:hAnsi="Times New Roman"/>
                <w:kern w:val="0"/>
                <w:sz w:val="24"/>
                <w:szCs w:val="24"/>
                <w:vertAlign w:val="subscript"/>
                <w:lang w:val="ru-RU" w:eastAsia="en-US" w:bidi="ar-SA"/>
              </w:rPr>
              <w:t>о</w:t>
            </w:r>
          </w:p>
        </w:tc>
        <w:tc>
          <w:tcPr>
            <w:tcW w:w="891"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1,0</w:t>
            </w:r>
          </w:p>
        </w:tc>
        <w:tc>
          <w:tcPr>
            <w:tcW w:w="888"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1,4</w:t>
            </w:r>
          </w:p>
        </w:tc>
        <w:tc>
          <w:tcPr>
            <w:tcW w:w="888"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1,7</w:t>
            </w:r>
          </w:p>
        </w:tc>
        <w:tc>
          <w:tcPr>
            <w:tcW w:w="889"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2,1</w:t>
            </w:r>
          </w:p>
        </w:tc>
        <w:tc>
          <w:tcPr>
            <w:tcW w:w="893"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2,5</w:t>
            </w:r>
          </w:p>
        </w:tc>
        <w:tc>
          <w:tcPr>
            <w:tcW w:w="890"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2,9</w:t>
            </w:r>
          </w:p>
        </w:tc>
        <w:tc>
          <w:tcPr>
            <w:tcW w:w="889"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3,4</w:t>
            </w:r>
          </w:p>
        </w:tc>
        <w:tc>
          <w:tcPr>
            <w:tcW w:w="890"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3,9</w:t>
            </w:r>
          </w:p>
        </w:tc>
        <w:tc>
          <w:tcPr>
            <w:tcW w:w="893"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4,1</w:t>
            </w:r>
          </w:p>
        </w:tc>
        <w:tc>
          <w:tcPr>
            <w:tcW w:w="884"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4,6</w:t>
            </w:r>
          </w:p>
        </w:tc>
      </w:tr>
      <w:tr>
        <w:trPr/>
        <w:tc>
          <w:tcPr>
            <w:tcW w:w="956" w:type="dxa"/>
            <w:tcBorders/>
            <w:shd w:color="auto" w:fill="FFFF00" w:val="clear"/>
          </w:tcPr>
          <w:p>
            <w:pPr>
              <w:pStyle w:val="NoSpacing"/>
              <w:widowControl w:val="false"/>
              <w:suppressAutoHyphens w:val="true"/>
              <w:spacing w:before="0" w:after="0"/>
              <w:jc w:val="left"/>
              <w:rPr>
                <w:rFonts w:ascii="Times New Roman" w:hAnsi="Times New Roman" w:cs="Times New Roman"/>
                <w:sz w:val="24"/>
                <w:szCs w:val="24"/>
                <w:vertAlign w:val="subscript"/>
              </w:rPr>
            </w:pPr>
            <w:r>
              <w:rPr>
                <w:rFonts w:eastAsia="Calibri" w:cs="Times New Roman" w:ascii="Times New Roman" w:hAnsi="Times New Roman"/>
                <w:kern w:val="0"/>
                <w:sz w:val="24"/>
                <w:szCs w:val="24"/>
                <w:lang w:val="en-US" w:eastAsia="en-US" w:bidi="ar-SA"/>
              </w:rPr>
              <w:t>F</w:t>
            </w:r>
            <w:r>
              <w:rPr>
                <w:rFonts w:eastAsia="Calibri" w:cs="Times New Roman" w:ascii="Times New Roman" w:hAnsi="Times New Roman"/>
                <w:kern w:val="0"/>
                <w:sz w:val="24"/>
                <w:szCs w:val="24"/>
                <w:vertAlign w:val="subscript"/>
                <w:lang w:val="ru-RU" w:eastAsia="en-US" w:bidi="ar-SA"/>
              </w:rPr>
              <w:t>1к</w:t>
            </w:r>
          </w:p>
        </w:tc>
        <w:tc>
          <w:tcPr>
            <w:tcW w:w="891"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1,1</w:t>
            </w:r>
          </w:p>
        </w:tc>
        <w:tc>
          <w:tcPr>
            <w:tcW w:w="888"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1,3</w:t>
            </w:r>
          </w:p>
        </w:tc>
        <w:tc>
          <w:tcPr>
            <w:tcW w:w="888"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1,7</w:t>
            </w:r>
          </w:p>
        </w:tc>
        <w:tc>
          <w:tcPr>
            <w:tcW w:w="889"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2,0</w:t>
            </w:r>
          </w:p>
        </w:tc>
        <w:tc>
          <w:tcPr>
            <w:tcW w:w="893"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2,2</w:t>
            </w:r>
          </w:p>
        </w:tc>
        <w:tc>
          <w:tcPr>
            <w:tcW w:w="890"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2,5</w:t>
            </w:r>
          </w:p>
        </w:tc>
        <w:tc>
          <w:tcPr>
            <w:tcW w:w="889"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2,8</w:t>
            </w:r>
          </w:p>
        </w:tc>
        <w:tc>
          <w:tcPr>
            <w:tcW w:w="890"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3,1*</w:t>
            </w:r>
          </w:p>
        </w:tc>
        <w:tc>
          <w:tcPr>
            <w:tcW w:w="893"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3,3*</w:t>
            </w:r>
          </w:p>
        </w:tc>
        <w:tc>
          <w:tcPr>
            <w:tcW w:w="884"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3,8*</w:t>
            </w:r>
          </w:p>
        </w:tc>
      </w:tr>
      <w:tr>
        <w:trPr/>
        <w:tc>
          <w:tcPr>
            <w:tcW w:w="956" w:type="dxa"/>
            <w:tcBorders/>
          </w:tcPr>
          <w:p>
            <w:pPr>
              <w:pStyle w:val="NoSpacing"/>
              <w:widowControl w:val="false"/>
              <w:suppressAutoHyphens w:val="true"/>
              <w:spacing w:before="0" w:after="0"/>
              <w:jc w:val="left"/>
              <w:rPr>
                <w:rFonts w:ascii="Times New Roman" w:hAnsi="Times New Roman" w:cs="Times New Roman"/>
                <w:sz w:val="24"/>
                <w:szCs w:val="24"/>
                <w:vertAlign w:val="subscript"/>
              </w:rPr>
            </w:pPr>
            <w:r>
              <w:rPr>
                <w:rFonts w:eastAsia="Calibri" w:cs="Times New Roman" w:ascii="Times New Roman" w:hAnsi="Times New Roman"/>
                <w:kern w:val="0"/>
                <w:sz w:val="24"/>
                <w:szCs w:val="24"/>
                <w:lang w:val="en-US" w:eastAsia="en-US" w:bidi="ar-SA"/>
              </w:rPr>
              <w:t>F</w:t>
            </w:r>
            <w:r>
              <w:rPr>
                <w:rFonts w:eastAsia="Calibri" w:cs="Times New Roman" w:ascii="Times New Roman" w:hAnsi="Times New Roman"/>
                <w:kern w:val="0"/>
                <w:sz w:val="24"/>
                <w:szCs w:val="24"/>
                <w:vertAlign w:val="subscript"/>
                <w:lang w:val="en-US" w:eastAsia="en-US" w:bidi="ar-SA"/>
              </w:rPr>
              <w:t>1</w:t>
            </w:r>
            <w:r>
              <w:rPr>
                <w:rFonts w:eastAsia="Calibri" w:cs="Times New Roman" w:ascii="Times New Roman" w:hAnsi="Times New Roman"/>
                <w:kern w:val="0"/>
                <w:sz w:val="24"/>
                <w:szCs w:val="24"/>
                <w:vertAlign w:val="subscript"/>
                <w:lang w:val="ru-RU" w:eastAsia="en-US" w:bidi="ar-SA"/>
              </w:rPr>
              <w:t>о</w:t>
            </w:r>
          </w:p>
        </w:tc>
        <w:tc>
          <w:tcPr>
            <w:tcW w:w="891"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1,1</w:t>
            </w:r>
          </w:p>
        </w:tc>
        <w:tc>
          <w:tcPr>
            <w:tcW w:w="888"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1,3</w:t>
            </w:r>
          </w:p>
        </w:tc>
        <w:tc>
          <w:tcPr>
            <w:tcW w:w="888"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1,8</w:t>
            </w:r>
          </w:p>
        </w:tc>
        <w:tc>
          <w:tcPr>
            <w:tcW w:w="889"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2,0</w:t>
            </w:r>
          </w:p>
        </w:tc>
        <w:tc>
          <w:tcPr>
            <w:tcW w:w="893"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2,3</w:t>
            </w:r>
          </w:p>
        </w:tc>
        <w:tc>
          <w:tcPr>
            <w:tcW w:w="890"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2,7</w:t>
            </w:r>
          </w:p>
        </w:tc>
        <w:tc>
          <w:tcPr>
            <w:tcW w:w="889"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3,0</w:t>
            </w:r>
          </w:p>
        </w:tc>
        <w:tc>
          <w:tcPr>
            <w:tcW w:w="890"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3,4</w:t>
            </w:r>
          </w:p>
        </w:tc>
        <w:tc>
          <w:tcPr>
            <w:tcW w:w="893"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3,7</w:t>
            </w:r>
          </w:p>
        </w:tc>
        <w:tc>
          <w:tcPr>
            <w:tcW w:w="884"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4,2</w:t>
            </w:r>
          </w:p>
        </w:tc>
      </w:tr>
    </w:tbl>
    <w:p>
      <w:pPr>
        <w:pStyle w:val="NoSpacing"/>
        <w:jc w:val="both"/>
        <w:rPr>
          <w:rFonts w:ascii="Times New Roman" w:hAnsi="Times New Roman" w:cs="Times New Roman"/>
          <w:sz w:val="24"/>
          <w:szCs w:val="24"/>
        </w:rPr>
      </w:pPr>
      <w:r>
        <w:rPr>
          <w:rFonts w:cs="Times New Roman" w:ascii="Times New Roman" w:hAnsi="Times New Roman"/>
          <w:sz w:val="24"/>
          <w:szCs w:val="24"/>
        </w:rPr>
        <w:t>Р</w:t>
      </w:r>
      <w:r>
        <w:rPr>
          <w:rFonts w:cs="Times New Roman" w:ascii="Times New Roman" w:hAnsi="Times New Roman"/>
          <w:sz w:val="24"/>
          <w:szCs w:val="24"/>
          <w:vertAlign w:val="subscript"/>
        </w:rPr>
        <w:t>к</w:t>
      </w:r>
      <w:r>
        <w:rPr>
          <w:rFonts w:cs="Times New Roman" w:ascii="Times New Roman" w:hAnsi="Times New Roman"/>
          <w:sz w:val="24"/>
          <w:szCs w:val="24"/>
        </w:rPr>
        <w:t xml:space="preserve"> – родители контрольная группа, Р</w:t>
      </w:r>
      <w:r>
        <w:rPr>
          <w:rFonts w:cs="Times New Roman" w:ascii="Times New Roman" w:hAnsi="Times New Roman"/>
          <w:sz w:val="24"/>
          <w:szCs w:val="24"/>
          <w:vertAlign w:val="subscript"/>
        </w:rPr>
        <w:t>о</w:t>
      </w:r>
      <w:r>
        <w:rPr>
          <w:rFonts w:cs="Times New Roman" w:ascii="Times New Roman" w:hAnsi="Times New Roman"/>
          <w:sz w:val="24"/>
          <w:szCs w:val="24"/>
        </w:rPr>
        <w:t xml:space="preserve"> – родители опытная группа, </w:t>
      </w:r>
      <w:r>
        <w:rPr>
          <w:rFonts w:cs="Times New Roman" w:ascii="Times New Roman" w:hAnsi="Times New Roman"/>
          <w:sz w:val="24"/>
          <w:szCs w:val="24"/>
          <w:lang w:val="en-US"/>
        </w:rPr>
        <w:t>F</w:t>
      </w:r>
      <w:r>
        <w:rPr>
          <w:rFonts w:cs="Times New Roman" w:ascii="Times New Roman" w:hAnsi="Times New Roman"/>
          <w:sz w:val="24"/>
          <w:szCs w:val="24"/>
          <w:vertAlign w:val="subscript"/>
        </w:rPr>
        <w:t>1к</w:t>
      </w:r>
      <w:r>
        <w:rPr>
          <w:rFonts w:cs="Times New Roman" w:ascii="Times New Roman" w:hAnsi="Times New Roman"/>
          <w:sz w:val="24"/>
          <w:szCs w:val="24"/>
        </w:rPr>
        <w:t xml:space="preserve"> – первая генерация контрольная группа, </w:t>
      </w:r>
      <w:r>
        <w:rPr>
          <w:rFonts w:cs="Times New Roman" w:ascii="Times New Roman" w:hAnsi="Times New Roman"/>
          <w:sz w:val="24"/>
          <w:szCs w:val="24"/>
          <w:lang w:val="en-US"/>
        </w:rPr>
        <w:t>F</w:t>
      </w:r>
      <w:r>
        <w:rPr>
          <w:rFonts w:cs="Times New Roman" w:ascii="Times New Roman" w:hAnsi="Times New Roman"/>
          <w:sz w:val="24"/>
          <w:szCs w:val="24"/>
          <w:vertAlign w:val="subscript"/>
        </w:rPr>
        <w:t>1о</w:t>
      </w:r>
      <w:r>
        <w:rPr>
          <w:rFonts w:cs="Times New Roman" w:ascii="Times New Roman" w:hAnsi="Times New Roman"/>
          <w:sz w:val="24"/>
          <w:szCs w:val="24"/>
        </w:rPr>
        <w:t xml:space="preserve"> – первая генерация опытная группа, * - достоверные различия. </w:t>
      </w:r>
    </w:p>
    <w:p>
      <w:pPr>
        <w:pStyle w:val="NoSpacing"/>
        <w:spacing w:lineRule="auto" w:line="360"/>
        <w:ind w:firstLine="851"/>
        <w:jc w:val="both"/>
        <w:rPr>
          <w:rFonts w:ascii="Times New Roman" w:hAnsi="Times New Roman" w:cs="Times New Roman"/>
          <w:sz w:val="28"/>
          <w:szCs w:val="28"/>
        </w:rPr>
      </w:pPr>
      <w:r>
        <w:rPr>
          <w:rFonts w:cs="Times New Roman" w:ascii="Times New Roman" w:hAnsi="Times New Roman"/>
          <w:sz w:val="28"/>
          <w:szCs w:val="28"/>
        </w:rPr>
      </w:r>
    </w:p>
    <w:p>
      <w:pPr>
        <w:pStyle w:val="NoSpacing"/>
        <w:spacing w:lineRule="auto" w:line="360"/>
        <w:ind w:firstLine="851"/>
        <w:jc w:val="both"/>
        <w:rPr>
          <w:rFonts w:ascii="Times New Roman" w:hAnsi="Times New Roman" w:cs="Times New Roman"/>
          <w:sz w:val="28"/>
          <w:szCs w:val="28"/>
        </w:rPr>
      </w:pPr>
      <w:r>
        <w:rPr>
          <w:rFonts w:cs="Times New Roman" w:ascii="Times New Roman" w:hAnsi="Times New Roman"/>
          <w:sz w:val="28"/>
          <w:szCs w:val="28"/>
        </w:rPr>
        <w:t>В среде с преднизолоном в группе родительских особей был обнаружен стимулирующий эффект гормона на рост рачков.  Особенно выраженно эффект наблюдали с 9 дня и, практически, до конца эксперимента. В контрольной  группе рост дафний был более равномерный.</w:t>
      </w:r>
    </w:p>
    <w:p>
      <w:pPr>
        <w:pStyle w:val="NoSpacing"/>
        <w:spacing w:lineRule="auto" w:line="360"/>
        <w:ind w:firstLine="851"/>
        <w:jc w:val="both"/>
        <w:rPr>
          <w:rFonts w:ascii="Times New Roman" w:hAnsi="Times New Roman" w:cs="Times New Roman"/>
          <w:sz w:val="28"/>
          <w:szCs w:val="28"/>
        </w:rPr>
      </w:pPr>
      <w:r>
        <w:rPr>
          <w:rFonts w:cs="Times New Roman" w:ascii="Times New Roman" w:hAnsi="Times New Roman"/>
          <w:sz w:val="28"/>
          <w:szCs w:val="28"/>
        </w:rPr>
        <w:t xml:space="preserve">Практически аналогичные результаты в сравнении с контрольной группой мы наблюдали в первой генерации рачков. Однако в опытных группах, стимулирующий эффект преднизолона был менее заметен в первом поколении по сравнению с родительским. </w:t>
      </w:r>
    </w:p>
    <w:p>
      <w:pPr>
        <w:pStyle w:val="NoSpacing"/>
        <w:spacing w:lineRule="auto" w:line="360"/>
        <w:ind w:firstLine="851"/>
        <w:jc w:val="both"/>
        <w:rPr>
          <w:rFonts w:ascii="Times New Roman" w:hAnsi="Times New Roman" w:cs="Times New Roman"/>
          <w:sz w:val="28"/>
          <w:szCs w:val="28"/>
        </w:rPr>
      </w:pPr>
      <w:r>
        <w:rPr>
          <w:rFonts w:cs="Times New Roman" w:ascii="Times New Roman" w:hAnsi="Times New Roman"/>
          <w:sz w:val="28"/>
          <w:szCs w:val="28"/>
        </w:rPr>
        <w:t xml:space="preserve">Возможно, акселераторные эффекты преднизолона связаны с усилением общего метаболизма, ускоренным характером линек [3]. </w:t>
      </w:r>
    </w:p>
    <w:p>
      <w:pPr>
        <w:pStyle w:val="NoSpacing"/>
        <w:spacing w:lineRule="auto" w:line="360"/>
        <w:ind w:firstLine="851"/>
        <w:jc w:val="both"/>
        <w:rPr>
          <w:rFonts w:ascii="Times New Roman" w:hAnsi="Times New Roman" w:cs="Times New Roman"/>
          <w:sz w:val="28"/>
          <w:szCs w:val="28"/>
        </w:rPr>
      </w:pPr>
      <w:r>
        <w:rPr>
          <w:rFonts w:cs="Times New Roman" w:ascii="Times New Roman" w:hAnsi="Times New Roman"/>
          <w:sz w:val="28"/>
          <w:szCs w:val="28"/>
        </w:rPr>
        <w:t xml:space="preserve">Снижение подобного действия преднизолона во втором поколении дафний можно лишь отчасти объяснить формированием биохимических адаптаций к изменившемуся химизму воды. Несмотря на то, что это, возможно, наиболее вероятностное объяснение, этот факт следует проверить в многократных повторностях и разными концентрациями гормона в среде, определив  диапазон возможных колебаний фактора. </w:t>
      </w:r>
    </w:p>
    <w:p>
      <w:pPr>
        <w:pStyle w:val="Normal"/>
        <w:spacing w:lineRule="auto" w:line="276" w:before="0" w:after="200"/>
        <w:ind w:hanging="0"/>
        <w:jc w:val="left"/>
        <w:rPr>
          <w:rFonts w:cs="Times New Roman"/>
          <w:sz w:val="28"/>
          <w:szCs w:val="28"/>
        </w:rPr>
      </w:pPr>
      <w:r>
        <w:rPr>
          <w:rFonts w:cs="Times New Roman"/>
          <w:sz w:val="28"/>
          <w:szCs w:val="28"/>
        </w:rPr>
      </w:r>
      <w:r>
        <w:br w:type="page"/>
      </w:r>
    </w:p>
    <w:p>
      <w:pPr>
        <w:pStyle w:val="NoSpacing"/>
        <w:spacing w:lineRule="auto" w:line="360"/>
        <w:ind w:firstLine="851"/>
        <w:jc w:val="both"/>
        <w:rPr>
          <w:rFonts w:ascii="Times New Roman" w:hAnsi="Times New Roman" w:cs="Times New Roman"/>
          <w:b/>
          <w:b/>
          <w:sz w:val="28"/>
          <w:szCs w:val="28"/>
        </w:rPr>
      </w:pPr>
      <w:r>
        <w:rPr>
          <w:rFonts w:cs="Times New Roman" w:ascii="Times New Roman" w:hAnsi="Times New Roman"/>
          <w:b/>
          <w:sz w:val="28"/>
          <w:szCs w:val="28"/>
        </w:rPr>
        <w:t xml:space="preserve">3.2. Особенности кардиореакций у дафний в опыте с преднизолоном </w:t>
      </w:r>
    </w:p>
    <w:p>
      <w:pPr>
        <w:pStyle w:val="NoSpacing"/>
        <w:spacing w:lineRule="auto" w:line="360"/>
        <w:ind w:firstLine="851"/>
        <w:jc w:val="both"/>
        <w:rPr>
          <w:rFonts w:ascii="Times New Roman" w:hAnsi="Times New Roman" w:cs="Times New Roman"/>
          <w:sz w:val="28"/>
          <w:szCs w:val="28"/>
        </w:rPr>
      </w:pPr>
      <w:r>
        <w:rPr>
          <w:rFonts w:cs="Times New Roman" w:ascii="Times New Roman" w:hAnsi="Times New Roman"/>
          <w:sz w:val="28"/>
          <w:szCs w:val="28"/>
        </w:rPr>
        <w:t xml:space="preserve">Как показало исследование, наличие в среде экзогенного преднизолона существенно повлияло на характер работы сердца. </w:t>
      </w:r>
    </w:p>
    <w:p>
      <w:pPr>
        <w:pStyle w:val="NoSpacing"/>
        <w:spacing w:lineRule="auto" w:line="360"/>
        <w:ind w:firstLine="851"/>
        <w:jc w:val="both"/>
        <w:rPr>
          <w:rFonts w:ascii="Times New Roman" w:hAnsi="Times New Roman" w:cs="Times New Roman"/>
          <w:sz w:val="28"/>
          <w:szCs w:val="28"/>
        </w:rPr>
      </w:pPr>
      <w:r>
        <w:rPr>
          <w:rFonts w:cs="Times New Roman" w:ascii="Times New Roman" w:hAnsi="Times New Roman"/>
          <w:sz w:val="28"/>
          <w:szCs w:val="28"/>
        </w:rPr>
        <w:t xml:space="preserve">Сразу после помещения дафний родительского поколения в среду с гормоном, наблюдались признаки брадикардии, которая носила выраженный характер до 18 дня. В последующие дни наблюдения кардиотоксическое действие преднизолона проявлялось в меньшей мере и достоверных различий между опытной и контрольной группой обнаружено не было (табл. 2). </w:t>
      </w:r>
    </w:p>
    <w:p>
      <w:pPr>
        <w:pStyle w:val="NoSpacing"/>
        <w:spacing w:lineRule="auto" w:line="360"/>
        <w:jc w:val="right"/>
        <w:rPr>
          <w:rFonts w:ascii="Times New Roman" w:hAnsi="Times New Roman" w:cs="Times New Roman"/>
          <w:sz w:val="24"/>
          <w:szCs w:val="24"/>
        </w:rPr>
      </w:pPr>
      <w:r>
        <w:rPr>
          <w:rFonts w:cs="Times New Roman" w:ascii="Times New Roman" w:hAnsi="Times New Roman"/>
          <w:i/>
          <w:sz w:val="24"/>
          <w:szCs w:val="24"/>
        </w:rPr>
        <w:t>Таблица 2.Частота сердечных сокращений у дафний под гормональным прессом (уд/мин)</w:t>
      </w:r>
    </w:p>
    <w:tbl>
      <w:tblPr>
        <w:tblStyle w:val="a9"/>
        <w:tblW w:w="985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56"/>
        <w:gridCol w:w="891"/>
        <w:gridCol w:w="888"/>
        <w:gridCol w:w="888"/>
        <w:gridCol w:w="889"/>
        <w:gridCol w:w="893"/>
        <w:gridCol w:w="890"/>
        <w:gridCol w:w="889"/>
        <w:gridCol w:w="890"/>
        <w:gridCol w:w="893"/>
        <w:gridCol w:w="884"/>
      </w:tblGrid>
      <w:tr>
        <w:trPr/>
        <w:tc>
          <w:tcPr>
            <w:tcW w:w="956" w:type="dxa"/>
            <w:vMerge w:val="restart"/>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Группа</w:t>
            </w:r>
          </w:p>
        </w:tc>
        <w:tc>
          <w:tcPr>
            <w:tcW w:w="8895" w:type="dxa"/>
            <w:gridSpan w:val="10"/>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Дни исследования </w:t>
            </w:r>
          </w:p>
        </w:tc>
      </w:tr>
      <w:tr>
        <w:trPr/>
        <w:tc>
          <w:tcPr>
            <w:tcW w:w="956" w:type="dxa"/>
            <w:vMerge w:val="continue"/>
            <w:tcBorders/>
          </w:tcPr>
          <w:p>
            <w:pPr>
              <w:pStyle w:val="NoSpacing"/>
              <w:widowControl w:val="false"/>
              <w:suppressAutoHyphens w:val="true"/>
              <w:spacing w:before="0" w:after="0"/>
              <w:jc w:val="left"/>
              <w:rPr>
                <w:rFonts w:ascii="Times New Roman" w:hAnsi="Times New Roman" w:cs="Times New Roman"/>
                <w:sz w:val="24"/>
                <w:szCs w:val="24"/>
              </w:rPr>
            </w:pPr>
            <w:r>
              <w:rPr>
                <w:rFonts w:cs="Times New Roman" w:ascii="Times New Roman" w:hAnsi="Times New Roman"/>
                <w:sz w:val="24"/>
                <w:szCs w:val="24"/>
              </w:rPr>
            </w:r>
          </w:p>
        </w:tc>
        <w:tc>
          <w:tcPr>
            <w:tcW w:w="891"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88"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88"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889"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893"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12</w:t>
            </w:r>
          </w:p>
        </w:tc>
        <w:tc>
          <w:tcPr>
            <w:tcW w:w="890"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15</w:t>
            </w:r>
          </w:p>
        </w:tc>
        <w:tc>
          <w:tcPr>
            <w:tcW w:w="889"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18</w:t>
            </w:r>
          </w:p>
        </w:tc>
        <w:tc>
          <w:tcPr>
            <w:tcW w:w="890"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21</w:t>
            </w:r>
          </w:p>
        </w:tc>
        <w:tc>
          <w:tcPr>
            <w:tcW w:w="893"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24</w:t>
            </w:r>
          </w:p>
        </w:tc>
        <w:tc>
          <w:tcPr>
            <w:tcW w:w="884"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27</w:t>
            </w:r>
          </w:p>
        </w:tc>
      </w:tr>
      <w:tr>
        <w:trPr/>
        <w:tc>
          <w:tcPr>
            <w:tcW w:w="956" w:type="dxa"/>
            <w:tcBorders/>
            <w:shd w:color="auto" w:fill="FFFF00" w:val="clear"/>
          </w:tcPr>
          <w:p>
            <w:pPr>
              <w:pStyle w:val="NoSpacing"/>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w:t>
            </w:r>
            <w:r>
              <w:rPr>
                <w:rFonts w:eastAsia="Calibri" w:cs="Times New Roman" w:ascii="Times New Roman" w:hAnsi="Times New Roman"/>
                <w:kern w:val="0"/>
                <w:sz w:val="24"/>
                <w:szCs w:val="24"/>
                <w:vertAlign w:val="subscript"/>
                <w:lang w:val="ru-RU" w:eastAsia="en-US" w:bidi="ar-SA"/>
              </w:rPr>
              <w:t>к</w:t>
            </w:r>
          </w:p>
        </w:tc>
        <w:tc>
          <w:tcPr>
            <w:tcW w:w="891"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316*</w:t>
            </w:r>
          </w:p>
        </w:tc>
        <w:tc>
          <w:tcPr>
            <w:tcW w:w="888"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326*</w:t>
            </w:r>
          </w:p>
        </w:tc>
        <w:tc>
          <w:tcPr>
            <w:tcW w:w="888"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333*</w:t>
            </w:r>
          </w:p>
        </w:tc>
        <w:tc>
          <w:tcPr>
            <w:tcW w:w="889"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338*</w:t>
            </w:r>
          </w:p>
        </w:tc>
        <w:tc>
          <w:tcPr>
            <w:tcW w:w="893"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330*</w:t>
            </w:r>
          </w:p>
        </w:tc>
        <w:tc>
          <w:tcPr>
            <w:tcW w:w="890"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300*</w:t>
            </w:r>
          </w:p>
        </w:tc>
        <w:tc>
          <w:tcPr>
            <w:tcW w:w="889"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277*</w:t>
            </w:r>
          </w:p>
        </w:tc>
        <w:tc>
          <w:tcPr>
            <w:tcW w:w="890"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275</w:t>
            </w:r>
          </w:p>
        </w:tc>
        <w:tc>
          <w:tcPr>
            <w:tcW w:w="893"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270</w:t>
            </w:r>
          </w:p>
        </w:tc>
        <w:tc>
          <w:tcPr>
            <w:tcW w:w="884"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276</w:t>
            </w:r>
          </w:p>
        </w:tc>
      </w:tr>
      <w:tr>
        <w:trPr/>
        <w:tc>
          <w:tcPr>
            <w:tcW w:w="956" w:type="dxa"/>
            <w:tcBorders/>
          </w:tcPr>
          <w:p>
            <w:pPr>
              <w:pStyle w:val="NoSpacing"/>
              <w:widowControl w:val="false"/>
              <w:suppressAutoHyphens w:val="true"/>
              <w:spacing w:before="0" w:after="0"/>
              <w:jc w:val="left"/>
              <w:rPr>
                <w:rFonts w:ascii="Times New Roman" w:hAnsi="Times New Roman" w:cs="Times New Roman"/>
                <w:sz w:val="24"/>
                <w:szCs w:val="24"/>
                <w:vertAlign w:val="subscript"/>
              </w:rPr>
            </w:pPr>
            <w:r>
              <w:rPr>
                <w:rFonts w:eastAsia="Calibri" w:cs="Times New Roman" w:ascii="Times New Roman" w:hAnsi="Times New Roman"/>
                <w:kern w:val="0"/>
                <w:sz w:val="24"/>
                <w:szCs w:val="24"/>
                <w:lang w:val="ru-RU" w:eastAsia="en-US" w:bidi="ar-SA"/>
              </w:rPr>
              <w:t>Р</w:t>
            </w:r>
            <w:r>
              <w:rPr>
                <w:rFonts w:eastAsia="Calibri" w:cs="Times New Roman" w:ascii="Times New Roman" w:hAnsi="Times New Roman"/>
                <w:kern w:val="0"/>
                <w:sz w:val="24"/>
                <w:szCs w:val="24"/>
                <w:vertAlign w:val="subscript"/>
                <w:lang w:val="ru-RU" w:eastAsia="en-US" w:bidi="ar-SA"/>
              </w:rPr>
              <w:t>о</w:t>
            </w:r>
          </w:p>
        </w:tc>
        <w:tc>
          <w:tcPr>
            <w:tcW w:w="891"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282</w:t>
            </w:r>
          </w:p>
        </w:tc>
        <w:tc>
          <w:tcPr>
            <w:tcW w:w="888"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291</w:t>
            </w:r>
          </w:p>
        </w:tc>
        <w:tc>
          <w:tcPr>
            <w:tcW w:w="888"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302</w:t>
            </w:r>
          </w:p>
        </w:tc>
        <w:tc>
          <w:tcPr>
            <w:tcW w:w="889"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310</w:t>
            </w:r>
          </w:p>
        </w:tc>
        <w:tc>
          <w:tcPr>
            <w:tcW w:w="893"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300</w:t>
            </w:r>
          </w:p>
        </w:tc>
        <w:tc>
          <w:tcPr>
            <w:tcW w:w="890"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289</w:t>
            </w:r>
          </w:p>
        </w:tc>
        <w:tc>
          <w:tcPr>
            <w:tcW w:w="889"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260</w:t>
            </w:r>
          </w:p>
        </w:tc>
        <w:tc>
          <w:tcPr>
            <w:tcW w:w="890"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262</w:t>
            </w:r>
          </w:p>
        </w:tc>
        <w:tc>
          <w:tcPr>
            <w:tcW w:w="893"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261</w:t>
            </w:r>
          </w:p>
        </w:tc>
        <w:tc>
          <w:tcPr>
            <w:tcW w:w="884"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261</w:t>
            </w:r>
          </w:p>
        </w:tc>
      </w:tr>
      <w:tr>
        <w:trPr/>
        <w:tc>
          <w:tcPr>
            <w:tcW w:w="956" w:type="dxa"/>
            <w:tcBorders/>
            <w:shd w:color="auto" w:fill="FFFF00" w:val="clear"/>
          </w:tcPr>
          <w:p>
            <w:pPr>
              <w:pStyle w:val="NoSpacing"/>
              <w:widowControl w:val="false"/>
              <w:suppressAutoHyphens w:val="true"/>
              <w:spacing w:before="0" w:after="0"/>
              <w:jc w:val="left"/>
              <w:rPr>
                <w:rFonts w:ascii="Times New Roman" w:hAnsi="Times New Roman" w:cs="Times New Roman"/>
                <w:sz w:val="24"/>
                <w:szCs w:val="24"/>
                <w:vertAlign w:val="subscript"/>
              </w:rPr>
            </w:pPr>
            <w:r>
              <w:rPr>
                <w:rFonts w:eastAsia="Calibri" w:cs="Times New Roman" w:ascii="Times New Roman" w:hAnsi="Times New Roman"/>
                <w:kern w:val="0"/>
                <w:sz w:val="24"/>
                <w:szCs w:val="24"/>
                <w:lang w:val="en-US" w:eastAsia="en-US" w:bidi="ar-SA"/>
              </w:rPr>
              <w:t>F</w:t>
            </w:r>
            <w:r>
              <w:rPr>
                <w:rFonts w:eastAsia="Calibri" w:cs="Times New Roman" w:ascii="Times New Roman" w:hAnsi="Times New Roman"/>
                <w:kern w:val="0"/>
                <w:sz w:val="24"/>
                <w:szCs w:val="24"/>
                <w:vertAlign w:val="subscript"/>
                <w:lang w:val="ru-RU" w:eastAsia="en-US" w:bidi="ar-SA"/>
              </w:rPr>
              <w:t>1к</w:t>
            </w:r>
          </w:p>
        </w:tc>
        <w:tc>
          <w:tcPr>
            <w:tcW w:w="891"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319*</w:t>
            </w:r>
          </w:p>
        </w:tc>
        <w:tc>
          <w:tcPr>
            <w:tcW w:w="888"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327*</w:t>
            </w:r>
          </w:p>
        </w:tc>
        <w:tc>
          <w:tcPr>
            <w:tcW w:w="888"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330*</w:t>
            </w:r>
          </w:p>
        </w:tc>
        <w:tc>
          <w:tcPr>
            <w:tcW w:w="889"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339*</w:t>
            </w:r>
          </w:p>
        </w:tc>
        <w:tc>
          <w:tcPr>
            <w:tcW w:w="893"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332*</w:t>
            </w:r>
          </w:p>
        </w:tc>
        <w:tc>
          <w:tcPr>
            <w:tcW w:w="890"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306*</w:t>
            </w:r>
          </w:p>
        </w:tc>
        <w:tc>
          <w:tcPr>
            <w:tcW w:w="889"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277*</w:t>
            </w:r>
          </w:p>
        </w:tc>
        <w:tc>
          <w:tcPr>
            <w:tcW w:w="890"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270</w:t>
            </w:r>
          </w:p>
        </w:tc>
        <w:tc>
          <w:tcPr>
            <w:tcW w:w="893"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271</w:t>
            </w:r>
          </w:p>
        </w:tc>
        <w:tc>
          <w:tcPr>
            <w:tcW w:w="884"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271</w:t>
            </w:r>
          </w:p>
        </w:tc>
      </w:tr>
      <w:tr>
        <w:trPr/>
        <w:tc>
          <w:tcPr>
            <w:tcW w:w="956" w:type="dxa"/>
            <w:tcBorders/>
          </w:tcPr>
          <w:p>
            <w:pPr>
              <w:pStyle w:val="NoSpacing"/>
              <w:widowControl w:val="false"/>
              <w:suppressAutoHyphens w:val="true"/>
              <w:spacing w:before="0" w:after="0"/>
              <w:jc w:val="left"/>
              <w:rPr>
                <w:rFonts w:ascii="Times New Roman" w:hAnsi="Times New Roman" w:cs="Times New Roman"/>
                <w:sz w:val="24"/>
                <w:szCs w:val="24"/>
                <w:vertAlign w:val="subscript"/>
              </w:rPr>
            </w:pPr>
            <w:r>
              <w:rPr>
                <w:rFonts w:eastAsia="Calibri" w:cs="Times New Roman" w:ascii="Times New Roman" w:hAnsi="Times New Roman"/>
                <w:kern w:val="0"/>
                <w:sz w:val="24"/>
                <w:szCs w:val="24"/>
                <w:lang w:val="en-US" w:eastAsia="en-US" w:bidi="ar-SA"/>
              </w:rPr>
              <w:t>F</w:t>
            </w:r>
            <w:r>
              <w:rPr>
                <w:rFonts w:eastAsia="Calibri" w:cs="Times New Roman" w:ascii="Times New Roman" w:hAnsi="Times New Roman"/>
                <w:kern w:val="0"/>
                <w:sz w:val="24"/>
                <w:szCs w:val="24"/>
                <w:vertAlign w:val="subscript"/>
                <w:lang w:val="en-US" w:eastAsia="en-US" w:bidi="ar-SA"/>
              </w:rPr>
              <w:t>1</w:t>
            </w:r>
            <w:r>
              <w:rPr>
                <w:rFonts w:eastAsia="Calibri" w:cs="Times New Roman" w:ascii="Times New Roman" w:hAnsi="Times New Roman"/>
                <w:kern w:val="0"/>
                <w:sz w:val="24"/>
                <w:szCs w:val="24"/>
                <w:vertAlign w:val="subscript"/>
                <w:lang w:val="ru-RU" w:eastAsia="en-US" w:bidi="ar-SA"/>
              </w:rPr>
              <w:t>о</w:t>
            </w:r>
          </w:p>
        </w:tc>
        <w:tc>
          <w:tcPr>
            <w:tcW w:w="891"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281</w:t>
            </w:r>
          </w:p>
        </w:tc>
        <w:tc>
          <w:tcPr>
            <w:tcW w:w="888"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296</w:t>
            </w:r>
          </w:p>
        </w:tc>
        <w:tc>
          <w:tcPr>
            <w:tcW w:w="888"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300</w:t>
            </w:r>
          </w:p>
        </w:tc>
        <w:tc>
          <w:tcPr>
            <w:tcW w:w="889"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312</w:t>
            </w:r>
          </w:p>
        </w:tc>
        <w:tc>
          <w:tcPr>
            <w:tcW w:w="893"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300</w:t>
            </w:r>
          </w:p>
        </w:tc>
        <w:tc>
          <w:tcPr>
            <w:tcW w:w="890"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296</w:t>
            </w:r>
          </w:p>
        </w:tc>
        <w:tc>
          <w:tcPr>
            <w:tcW w:w="889"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262</w:t>
            </w:r>
          </w:p>
        </w:tc>
        <w:tc>
          <w:tcPr>
            <w:tcW w:w="890"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260</w:t>
            </w:r>
          </w:p>
        </w:tc>
        <w:tc>
          <w:tcPr>
            <w:tcW w:w="893"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262</w:t>
            </w:r>
          </w:p>
        </w:tc>
        <w:tc>
          <w:tcPr>
            <w:tcW w:w="884"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261</w:t>
            </w:r>
          </w:p>
        </w:tc>
      </w:tr>
    </w:tbl>
    <w:p>
      <w:pPr>
        <w:pStyle w:val="NoSpacing"/>
        <w:jc w:val="both"/>
        <w:rPr>
          <w:rFonts w:ascii="Times New Roman" w:hAnsi="Times New Roman" w:cs="Times New Roman"/>
          <w:sz w:val="24"/>
          <w:szCs w:val="24"/>
        </w:rPr>
      </w:pPr>
      <w:r>
        <w:rPr>
          <w:rFonts w:cs="Times New Roman" w:ascii="Times New Roman" w:hAnsi="Times New Roman"/>
          <w:sz w:val="24"/>
          <w:szCs w:val="24"/>
        </w:rPr>
        <w:t>Р</w:t>
      </w:r>
      <w:r>
        <w:rPr>
          <w:rFonts w:cs="Times New Roman" w:ascii="Times New Roman" w:hAnsi="Times New Roman"/>
          <w:sz w:val="24"/>
          <w:szCs w:val="24"/>
          <w:vertAlign w:val="subscript"/>
        </w:rPr>
        <w:t>к</w:t>
      </w:r>
      <w:r>
        <w:rPr>
          <w:rFonts w:cs="Times New Roman" w:ascii="Times New Roman" w:hAnsi="Times New Roman"/>
          <w:sz w:val="24"/>
          <w:szCs w:val="24"/>
        </w:rPr>
        <w:t xml:space="preserve"> – родители контрольная группа, Р</w:t>
      </w:r>
      <w:r>
        <w:rPr>
          <w:rFonts w:cs="Times New Roman" w:ascii="Times New Roman" w:hAnsi="Times New Roman"/>
          <w:sz w:val="24"/>
          <w:szCs w:val="24"/>
          <w:vertAlign w:val="subscript"/>
        </w:rPr>
        <w:t>о</w:t>
      </w:r>
      <w:r>
        <w:rPr>
          <w:rFonts w:cs="Times New Roman" w:ascii="Times New Roman" w:hAnsi="Times New Roman"/>
          <w:sz w:val="24"/>
          <w:szCs w:val="24"/>
        </w:rPr>
        <w:t xml:space="preserve"> – родители опытная группа, </w:t>
      </w:r>
      <w:r>
        <w:rPr>
          <w:rFonts w:cs="Times New Roman" w:ascii="Times New Roman" w:hAnsi="Times New Roman"/>
          <w:sz w:val="24"/>
          <w:szCs w:val="24"/>
          <w:lang w:val="en-US"/>
        </w:rPr>
        <w:t>F</w:t>
      </w:r>
      <w:r>
        <w:rPr>
          <w:rFonts w:cs="Times New Roman" w:ascii="Times New Roman" w:hAnsi="Times New Roman"/>
          <w:sz w:val="24"/>
          <w:szCs w:val="24"/>
          <w:vertAlign w:val="subscript"/>
        </w:rPr>
        <w:t>1к</w:t>
      </w:r>
      <w:r>
        <w:rPr>
          <w:rFonts w:cs="Times New Roman" w:ascii="Times New Roman" w:hAnsi="Times New Roman"/>
          <w:sz w:val="24"/>
          <w:szCs w:val="24"/>
        </w:rPr>
        <w:t xml:space="preserve"> – первая генерация контрольная группа, </w:t>
      </w:r>
      <w:r>
        <w:rPr>
          <w:rFonts w:cs="Times New Roman" w:ascii="Times New Roman" w:hAnsi="Times New Roman"/>
          <w:sz w:val="24"/>
          <w:szCs w:val="24"/>
          <w:lang w:val="en-US"/>
        </w:rPr>
        <w:t>F</w:t>
      </w:r>
      <w:r>
        <w:rPr>
          <w:rFonts w:cs="Times New Roman" w:ascii="Times New Roman" w:hAnsi="Times New Roman"/>
          <w:sz w:val="24"/>
          <w:szCs w:val="24"/>
          <w:vertAlign w:val="subscript"/>
        </w:rPr>
        <w:t>1о</w:t>
      </w:r>
      <w:r>
        <w:rPr>
          <w:rFonts w:cs="Times New Roman" w:ascii="Times New Roman" w:hAnsi="Times New Roman"/>
          <w:sz w:val="24"/>
          <w:szCs w:val="24"/>
        </w:rPr>
        <w:t xml:space="preserve"> – первая генерация опытная группа, * - достоверные различия. </w:t>
      </w:r>
    </w:p>
    <w:p>
      <w:pPr>
        <w:pStyle w:val="NoSpacing"/>
        <w:spacing w:lineRule="auto" w:line="360"/>
        <w:ind w:firstLine="851"/>
        <w:jc w:val="both"/>
        <w:rPr>
          <w:rFonts w:ascii="Times New Roman" w:hAnsi="Times New Roman" w:cs="Times New Roman"/>
          <w:sz w:val="28"/>
          <w:szCs w:val="28"/>
        </w:rPr>
      </w:pPr>
      <w:r>
        <w:rPr>
          <w:rFonts w:cs="Times New Roman" w:ascii="Times New Roman" w:hAnsi="Times New Roman"/>
          <w:sz w:val="28"/>
          <w:szCs w:val="28"/>
        </w:rPr>
      </w:r>
    </w:p>
    <w:p>
      <w:pPr>
        <w:pStyle w:val="NoSpacing"/>
        <w:spacing w:lineRule="auto" w:line="360"/>
        <w:ind w:firstLine="851"/>
        <w:jc w:val="both"/>
        <w:rPr>
          <w:rFonts w:ascii="Times New Roman" w:hAnsi="Times New Roman" w:cs="Times New Roman"/>
          <w:sz w:val="28"/>
          <w:szCs w:val="28"/>
        </w:rPr>
      </w:pPr>
      <w:r>
        <w:rPr>
          <w:rFonts w:cs="Times New Roman" w:ascii="Times New Roman" w:hAnsi="Times New Roman"/>
          <w:sz w:val="28"/>
          <w:szCs w:val="28"/>
        </w:rPr>
        <w:t xml:space="preserve">Первая генерация рачков имела такой же характер кардиореакций, как и родительское поколение в опыте и контроле. На этом основании мы можем предположить, что кардиологические реакции рачков на экзогенный гормон в большей мере носят стенобионтный характер, чем его действие на ростовые процессы. </w:t>
      </w:r>
    </w:p>
    <w:p>
      <w:pPr>
        <w:pStyle w:val="NoSpacing"/>
        <w:spacing w:lineRule="auto" w:line="480"/>
        <w:ind w:firstLine="851"/>
        <w:jc w:val="both"/>
        <w:rPr>
          <w:rFonts w:ascii="Times New Roman" w:hAnsi="Times New Roman" w:cs="Times New Roman"/>
          <w:sz w:val="28"/>
          <w:szCs w:val="28"/>
        </w:rPr>
      </w:pPr>
      <w:r>
        <w:rPr>
          <w:rFonts w:cs="Times New Roman" w:ascii="Times New Roman" w:hAnsi="Times New Roman"/>
          <w:sz w:val="28"/>
          <w:szCs w:val="28"/>
        </w:rPr>
        <w:t xml:space="preserve">У позвоночных животных, характер сердечных реакций на преднизолон несколько иной. Гормон, накапливаясь в сердечной мышце, увеличивал его сократимость, при этом повышалось артериальное давление и в целом, действие гормона на сердце носит кардиостимулирующий характер [14]. </w:t>
      </w:r>
    </w:p>
    <w:p>
      <w:pPr>
        <w:pStyle w:val="NoSpacing"/>
        <w:spacing w:lineRule="auto" w:line="480"/>
        <w:ind w:firstLine="851"/>
        <w:jc w:val="both"/>
        <w:rPr>
          <w:rFonts w:ascii="Times New Roman" w:hAnsi="Times New Roman" w:cs="Times New Roman"/>
          <w:sz w:val="28"/>
          <w:szCs w:val="28"/>
        </w:rPr>
      </w:pPr>
      <w:r>
        <w:rPr>
          <w:rFonts w:cs="Times New Roman" w:ascii="Times New Roman" w:hAnsi="Times New Roman"/>
          <w:sz w:val="28"/>
          <w:szCs w:val="28"/>
        </w:rPr>
        <w:t xml:space="preserve">У ракообразных, очевидно, частота и амплитуда сердечных сокращений находятся под действием иного, более активного гормона или иного активного вещества, антогонистическое действие которого сильнее, чем стимулирующий эффект преднизолона [12]. </w:t>
      </w:r>
    </w:p>
    <w:p>
      <w:pPr>
        <w:pStyle w:val="Normal"/>
        <w:spacing w:lineRule="auto" w:line="276" w:before="0" w:after="200"/>
        <w:ind w:firstLine="851"/>
        <w:rPr>
          <w:rFonts w:cs="Times New Roman"/>
          <w:b/>
          <w:b/>
          <w:sz w:val="28"/>
          <w:szCs w:val="28"/>
        </w:rPr>
      </w:pPr>
      <w:r>
        <w:rPr>
          <w:rFonts w:cs="Times New Roman"/>
          <w:b/>
          <w:sz w:val="28"/>
          <w:szCs w:val="28"/>
        </w:rPr>
        <w:t>3.3. Характер репродуктивных функций у рачков в среде с эндогенным гормоном</w:t>
      </w:r>
    </w:p>
    <w:p>
      <w:pPr>
        <w:pStyle w:val="NoSpacing"/>
        <w:spacing w:lineRule="auto" w:line="360"/>
        <w:ind w:firstLine="851"/>
        <w:jc w:val="both"/>
        <w:rPr>
          <w:rFonts w:ascii="Times New Roman" w:hAnsi="Times New Roman" w:cs="Times New Roman"/>
          <w:sz w:val="28"/>
          <w:szCs w:val="28"/>
        </w:rPr>
      </w:pPr>
      <w:r>
        <w:rPr>
          <w:rFonts w:cs="Times New Roman" w:ascii="Times New Roman" w:hAnsi="Times New Roman"/>
          <w:sz w:val="28"/>
          <w:szCs w:val="28"/>
        </w:rPr>
        <w:t xml:space="preserve">Как в опытной, так и в контрольной группах родительских особей дафний,  яйцепродукция была отмечена лишь на 8 день от начала эксперимента. Однако плодовитость самок в опыте была достоверно выше по сравнению с контролем до конца эксперимента (табл. 3). Различия были довольно существенны и разнились до трех раз в сравниваемых группах. </w:t>
      </w:r>
    </w:p>
    <w:p>
      <w:pPr>
        <w:pStyle w:val="NoSpacing"/>
        <w:spacing w:lineRule="auto" w:line="360"/>
        <w:jc w:val="right"/>
        <w:rPr>
          <w:rFonts w:ascii="Times New Roman" w:hAnsi="Times New Roman" w:cs="Times New Roman"/>
          <w:sz w:val="24"/>
          <w:szCs w:val="24"/>
        </w:rPr>
      </w:pPr>
      <w:r>
        <w:rPr>
          <w:rFonts w:cs="Times New Roman" w:ascii="Times New Roman" w:hAnsi="Times New Roman"/>
          <w:i/>
          <w:sz w:val="24"/>
          <w:szCs w:val="24"/>
        </w:rPr>
        <w:t>Таблица 3. Изменение плодовитости под влиянием гормона (яиц/самку)</w:t>
      </w:r>
    </w:p>
    <w:tbl>
      <w:tblPr>
        <w:tblStyle w:val="a9"/>
        <w:tblW w:w="985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56"/>
        <w:gridCol w:w="891"/>
        <w:gridCol w:w="888"/>
        <w:gridCol w:w="888"/>
        <w:gridCol w:w="889"/>
        <w:gridCol w:w="893"/>
        <w:gridCol w:w="890"/>
        <w:gridCol w:w="889"/>
        <w:gridCol w:w="890"/>
        <w:gridCol w:w="893"/>
        <w:gridCol w:w="884"/>
      </w:tblGrid>
      <w:tr>
        <w:trPr/>
        <w:tc>
          <w:tcPr>
            <w:tcW w:w="956" w:type="dxa"/>
            <w:vMerge w:val="restart"/>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Группа</w:t>
            </w:r>
          </w:p>
        </w:tc>
        <w:tc>
          <w:tcPr>
            <w:tcW w:w="8895" w:type="dxa"/>
            <w:gridSpan w:val="10"/>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Дни исследования </w:t>
            </w:r>
          </w:p>
        </w:tc>
      </w:tr>
      <w:tr>
        <w:trPr/>
        <w:tc>
          <w:tcPr>
            <w:tcW w:w="956" w:type="dxa"/>
            <w:vMerge w:val="continue"/>
            <w:tcBorders/>
          </w:tcPr>
          <w:p>
            <w:pPr>
              <w:pStyle w:val="NoSpacing"/>
              <w:widowControl w:val="false"/>
              <w:suppressAutoHyphens w:val="true"/>
              <w:spacing w:before="0" w:after="0"/>
              <w:jc w:val="left"/>
              <w:rPr>
                <w:rFonts w:ascii="Times New Roman" w:hAnsi="Times New Roman" w:cs="Times New Roman"/>
                <w:sz w:val="24"/>
                <w:szCs w:val="24"/>
              </w:rPr>
            </w:pPr>
            <w:r>
              <w:rPr>
                <w:rFonts w:cs="Times New Roman" w:ascii="Times New Roman" w:hAnsi="Times New Roman"/>
                <w:sz w:val="24"/>
                <w:szCs w:val="24"/>
              </w:rPr>
            </w:r>
          </w:p>
        </w:tc>
        <w:tc>
          <w:tcPr>
            <w:tcW w:w="891"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88"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88"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889"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893"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12</w:t>
            </w:r>
          </w:p>
        </w:tc>
        <w:tc>
          <w:tcPr>
            <w:tcW w:w="890"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15</w:t>
            </w:r>
          </w:p>
        </w:tc>
        <w:tc>
          <w:tcPr>
            <w:tcW w:w="889"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18</w:t>
            </w:r>
          </w:p>
        </w:tc>
        <w:tc>
          <w:tcPr>
            <w:tcW w:w="890"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21</w:t>
            </w:r>
          </w:p>
        </w:tc>
        <w:tc>
          <w:tcPr>
            <w:tcW w:w="893"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24</w:t>
            </w:r>
          </w:p>
        </w:tc>
        <w:tc>
          <w:tcPr>
            <w:tcW w:w="884"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27</w:t>
            </w:r>
          </w:p>
        </w:tc>
      </w:tr>
      <w:tr>
        <w:trPr/>
        <w:tc>
          <w:tcPr>
            <w:tcW w:w="956" w:type="dxa"/>
            <w:tcBorders/>
          </w:tcPr>
          <w:p>
            <w:pPr>
              <w:pStyle w:val="NoSpacing"/>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w:t>
            </w:r>
            <w:r>
              <w:rPr>
                <w:rFonts w:eastAsia="Calibri" w:cs="Times New Roman" w:ascii="Times New Roman" w:hAnsi="Times New Roman"/>
                <w:kern w:val="0"/>
                <w:sz w:val="24"/>
                <w:szCs w:val="24"/>
                <w:vertAlign w:val="subscript"/>
                <w:lang w:val="ru-RU" w:eastAsia="en-US" w:bidi="ar-SA"/>
              </w:rPr>
              <w:t>к</w:t>
            </w:r>
          </w:p>
        </w:tc>
        <w:tc>
          <w:tcPr>
            <w:tcW w:w="891"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tc>
        <w:tc>
          <w:tcPr>
            <w:tcW w:w="888"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tc>
        <w:tc>
          <w:tcPr>
            <w:tcW w:w="888"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tc>
        <w:tc>
          <w:tcPr>
            <w:tcW w:w="889"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3,3*</w:t>
            </w:r>
          </w:p>
        </w:tc>
        <w:tc>
          <w:tcPr>
            <w:tcW w:w="893"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3,6*</w:t>
            </w:r>
          </w:p>
        </w:tc>
        <w:tc>
          <w:tcPr>
            <w:tcW w:w="890"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4,8*</w:t>
            </w:r>
          </w:p>
        </w:tc>
        <w:tc>
          <w:tcPr>
            <w:tcW w:w="889"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5,7*</w:t>
            </w:r>
          </w:p>
        </w:tc>
        <w:tc>
          <w:tcPr>
            <w:tcW w:w="890"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5,2*</w:t>
            </w:r>
          </w:p>
        </w:tc>
        <w:tc>
          <w:tcPr>
            <w:tcW w:w="893"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4,1*</w:t>
            </w:r>
          </w:p>
        </w:tc>
        <w:tc>
          <w:tcPr>
            <w:tcW w:w="884"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2,0</w:t>
            </w:r>
          </w:p>
        </w:tc>
      </w:tr>
      <w:tr>
        <w:trPr/>
        <w:tc>
          <w:tcPr>
            <w:tcW w:w="956" w:type="dxa"/>
            <w:tcBorders/>
            <w:shd w:color="auto" w:fill="FFFF00" w:val="clear"/>
          </w:tcPr>
          <w:p>
            <w:pPr>
              <w:pStyle w:val="NoSpacing"/>
              <w:widowControl w:val="false"/>
              <w:suppressAutoHyphens w:val="true"/>
              <w:spacing w:before="0" w:after="0"/>
              <w:jc w:val="left"/>
              <w:rPr>
                <w:rFonts w:ascii="Times New Roman" w:hAnsi="Times New Roman" w:cs="Times New Roman"/>
                <w:sz w:val="24"/>
                <w:szCs w:val="24"/>
                <w:vertAlign w:val="subscript"/>
              </w:rPr>
            </w:pPr>
            <w:r>
              <w:rPr>
                <w:rFonts w:eastAsia="Calibri" w:cs="Times New Roman" w:ascii="Times New Roman" w:hAnsi="Times New Roman"/>
                <w:kern w:val="0"/>
                <w:sz w:val="24"/>
                <w:szCs w:val="24"/>
                <w:lang w:val="ru-RU" w:eastAsia="en-US" w:bidi="ar-SA"/>
              </w:rPr>
              <w:t>Р</w:t>
            </w:r>
            <w:r>
              <w:rPr>
                <w:rFonts w:eastAsia="Calibri" w:cs="Times New Roman" w:ascii="Times New Roman" w:hAnsi="Times New Roman"/>
                <w:kern w:val="0"/>
                <w:sz w:val="24"/>
                <w:szCs w:val="24"/>
                <w:vertAlign w:val="subscript"/>
                <w:lang w:val="ru-RU" w:eastAsia="en-US" w:bidi="ar-SA"/>
              </w:rPr>
              <w:t>о</w:t>
            </w:r>
          </w:p>
        </w:tc>
        <w:tc>
          <w:tcPr>
            <w:tcW w:w="891"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tc>
        <w:tc>
          <w:tcPr>
            <w:tcW w:w="888"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tc>
        <w:tc>
          <w:tcPr>
            <w:tcW w:w="888"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1,2</w:t>
            </w:r>
          </w:p>
        </w:tc>
        <w:tc>
          <w:tcPr>
            <w:tcW w:w="889"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4,4</w:t>
            </w:r>
          </w:p>
        </w:tc>
        <w:tc>
          <w:tcPr>
            <w:tcW w:w="893"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5,9</w:t>
            </w:r>
          </w:p>
        </w:tc>
        <w:tc>
          <w:tcPr>
            <w:tcW w:w="890"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6,4</w:t>
            </w:r>
          </w:p>
        </w:tc>
        <w:tc>
          <w:tcPr>
            <w:tcW w:w="889"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7,9</w:t>
            </w:r>
          </w:p>
        </w:tc>
        <w:tc>
          <w:tcPr>
            <w:tcW w:w="890"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8,2</w:t>
            </w:r>
          </w:p>
        </w:tc>
        <w:tc>
          <w:tcPr>
            <w:tcW w:w="893"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6,5</w:t>
            </w:r>
          </w:p>
        </w:tc>
        <w:tc>
          <w:tcPr>
            <w:tcW w:w="884"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3,9</w:t>
            </w:r>
          </w:p>
        </w:tc>
      </w:tr>
      <w:tr>
        <w:trPr/>
        <w:tc>
          <w:tcPr>
            <w:tcW w:w="956" w:type="dxa"/>
            <w:tcBorders/>
          </w:tcPr>
          <w:p>
            <w:pPr>
              <w:pStyle w:val="NoSpacing"/>
              <w:widowControl w:val="false"/>
              <w:suppressAutoHyphens w:val="true"/>
              <w:spacing w:before="0" w:after="0"/>
              <w:jc w:val="left"/>
              <w:rPr>
                <w:rFonts w:ascii="Times New Roman" w:hAnsi="Times New Roman" w:cs="Times New Roman"/>
                <w:sz w:val="24"/>
                <w:szCs w:val="24"/>
                <w:vertAlign w:val="subscript"/>
              </w:rPr>
            </w:pPr>
            <w:r>
              <w:rPr>
                <w:rFonts w:eastAsia="Calibri" w:cs="Times New Roman" w:ascii="Times New Roman" w:hAnsi="Times New Roman"/>
                <w:kern w:val="0"/>
                <w:sz w:val="24"/>
                <w:szCs w:val="24"/>
                <w:lang w:val="en-US" w:eastAsia="en-US" w:bidi="ar-SA"/>
              </w:rPr>
              <w:t>F</w:t>
            </w:r>
            <w:r>
              <w:rPr>
                <w:rFonts w:eastAsia="Calibri" w:cs="Times New Roman" w:ascii="Times New Roman" w:hAnsi="Times New Roman"/>
                <w:kern w:val="0"/>
                <w:sz w:val="24"/>
                <w:szCs w:val="24"/>
                <w:vertAlign w:val="subscript"/>
                <w:lang w:val="ru-RU" w:eastAsia="en-US" w:bidi="ar-SA"/>
              </w:rPr>
              <w:t>1к</w:t>
            </w:r>
          </w:p>
        </w:tc>
        <w:tc>
          <w:tcPr>
            <w:tcW w:w="891"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tc>
        <w:tc>
          <w:tcPr>
            <w:tcW w:w="888"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tc>
        <w:tc>
          <w:tcPr>
            <w:tcW w:w="888"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tc>
        <w:tc>
          <w:tcPr>
            <w:tcW w:w="889"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3,4</w:t>
            </w:r>
          </w:p>
        </w:tc>
        <w:tc>
          <w:tcPr>
            <w:tcW w:w="893"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3,6</w:t>
            </w:r>
          </w:p>
        </w:tc>
        <w:tc>
          <w:tcPr>
            <w:tcW w:w="890"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4,6*</w:t>
            </w:r>
          </w:p>
        </w:tc>
        <w:tc>
          <w:tcPr>
            <w:tcW w:w="889"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5,6*</w:t>
            </w:r>
          </w:p>
        </w:tc>
        <w:tc>
          <w:tcPr>
            <w:tcW w:w="890"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5,6*</w:t>
            </w:r>
          </w:p>
        </w:tc>
        <w:tc>
          <w:tcPr>
            <w:tcW w:w="893"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3,2*</w:t>
            </w:r>
          </w:p>
        </w:tc>
        <w:tc>
          <w:tcPr>
            <w:tcW w:w="884" w:type="dxa"/>
            <w:tcBorders/>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2,8</w:t>
            </w:r>
          </w:p>
        </w:tc>
      </w:tr>
      <w:tr>
        <w:trPr/>
        <w:tc>
          <w:tcPr>
            <w:tcW w:w="956" w:type="dxa"/>
            <w:tcBorders/>
            <w:shd w:color="auto" w:fill="FFFF00" w:val="clear"/>
          </w:tcPr>
          <w:p>
            <w:pPr>
              <w:pStyle w:val="NoSpacing"/>
              <w:widowControl w:val="false"/>
              <w:suppressAutoHyphens w:val="true"/>
              <w:spacing w:before="0" w:after="0"/>
              <w:jc w:val="left"/>
              <w:rPr>
                <w:rFonts w:ascii="Times New Roman" w:hAnsi="Times New Roman" w:cs="Times New Roman"/>
                <w:sz w:val="24"/>
                <w:szCs w:val="24"/>
                <w:vertAlign w:val="subscript"/>
              </w:rPr>
            </w:pPr>
            <w:r>
              <w:rPr>
                <w:rFonts w:eastAsia="Calibri" w:cs="Times New Roman" w:ascii="Times New Roman" w:hAnsi="Times New Roman"/>
                <w:kern w:val="0"/>
                <w:sz w:val="24"/>
                <w:szCs w:val="24"/>
                <w:lang w:val="en-US" w:eastAsia="en-US" w:bidi="ar-SA"/>
              </w:rPr>
              <w:t>F</w:t>
            </w:r>
            <w:r>
              <w:rPr>
                <w:rFonts w:eastAsia="Calibri" w:cs="Times New Roman" w:ascii="Times New Roman" w:hAnsi="Times New Roman"/>
                <w:kern w:val="0"/>
                <w:sz w:val="24"/>
                <w:szCs w:val="24"/>
                <w:vertAlign w:val="subscript"/>
                <w:lang w:val="en-US" w:eastAsia="en-US" w:bidi="ar-SA"/>
              </w:rPr>
              <w:t>1</w:t>
            </w:r>
            <w:r>
              <w:rPr>
                <w:rFonts w:eastAsia="Calibri" w:cs="Times New Roman" w:ascii="Times New Roman" w:hAnsi="Times New Roman"/>
                <w:kern w:val="0"/>
                <w:sz w:val="24"/>
                <w:szCs w:val="24"/>
                <w:vertAlign w:val="subscript"/>
                <w:lang w:val="ru-RU" w:eastAsia="en-US" w:bidi="ar-SA"/>
              </w:rPr>
              <w:t>о</w:t>
            </w:r>
          </w:p>
        </w:tc>
        <w:tc>
          <w:tcPr>
            <w:tcW w:w="891"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tc>
        <w:tc>
          <w:tcPr>
            <w:tcW w:w="888"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tc>
        <w:tc>
          <w:tcPr>
            <w:tcW w:w="888"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2,2</w:t>
            </w:r>
          </w:p>
        </w:tc>
        <w:tc>
          <w:tcPr>
            <w:tcW w:w="889"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4,0</w:t>
            </w:r>
          </w:p>
        </w:tc>
        <w:tc>
          <w:tcPr>
            <w:tcW w:w="893"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6,0</w:t>
            </w:r>
          </w:p>
        </w:tc>
        <w:tc>
          <w:tcPr>
            <w:tcW w:w="890"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7,8</w:t>
            </w:r>
          </w:p>
        </w:tc>
        <w:tc>
          <w:tcPr>
            <w:tcW w:w="889"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9,7</w:t>
            </w:r>
          </w:p>
        </w:tc>
        <w:tc>
          <w:tcPr>
            <w:tcW w:w="890"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7,0</w:t>
            </w:r>
          </w:p>
        </w:tc>
        <w:tc>
          <w:tcPr>
            <w:tcW w:w="893"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5,5</w:t>
            </w:r>
          </w:p>
        </w:tc>
        <w:tc>
          <w:tcPr>
            <w:tcW w:w="884" w:type="dxa"/>
            <w:tcBorders/>
            <w:shd w:color="auto" w:fill="FFFF00" w:val="clear"/>
          </w:tcPr>
          <w:p>
            <w:pPr>
              <w:pStyle w:val="NoSpacing"/>
              <w:widowControl w:val="false"/>
              <w:suppressAutoHyphens w:val="true"/>
              <w:spacing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3,3</w:t>
            </w:r>
          </w:p>
        </w:tc>
      </w:tr>
    </w:tbl>
    <w:p>
      <w:pPr>
        <w:pStyle w:val="NoSpacing"/>
        <w:jc w:val="both"/>
        <w:rPr>
          <w:rFonts w:ascii="Times New Roman" w:hAnsi="Times New Roman" w:cs="Times New Roman"/>
          <w:sz w:val="24"/>
          <w:szCs w:val="24"/>
        </w:rPr>
      </w:pPr>
      <w:r>
        <w:rPr>
          <w:rFonts w:cs="Times New Roman" w:ascii="Times New Roman" w:hAnsi="Times New Roman"/>
          <w:sz w:val="24"/>
          <w:szCs w:val="24"/>
        </w:rPr>
        <w:t>Р</w:t>
      </w:r>
      <w:r>
        <w:rPr>
          <w:rFonts w:cs="Times New Roman" w:ascii="Times New Roman" w:hAnsi="Times New Roman"/>
          <w:sz w:val="24"/>
          <w:szCs w:val="24"/>
          <w:vertAlign w:val="subscript"/>
        </w:rPr>
        <w:t>к</w:t>
      </w:r>
      <w:r>
        <w:rPr>
          <w:rFonts w:cs="Times New Roman" w:ascii="Times New Roman" w:hAnsi="Times New Roman"/>
          <w:sz w:val="24"/>
          <w:szCs w:val="24"/>
        </w:rPr>
        <w:t xml:space="preserve"> – родители контрольная группа, Р</w:t>
      </w:r>
      <w:r>
        <w:rPr>
          <w:rFonts w:cs="Times New Roman" w:ascii="Times New Roman" w:hAnsi="Times New Roman"/>
          <w:sz w:val="24"/>
          <w:szCs w:val="24"/>
          <w:vertAlign w:val="subscript"/>
        </w:rPr>
        <w:t>о</w:t>
      </w:r>
      <w:r>
        <w:rPr>
          <w:rFonts w:cs="Times New Roman" w:ascii="Times New Roman" w:hAnsi="Times New Roman"/>
          <w:sz w:val="24"/>
          <w:szCs w:val="24"/>
        </w:rPr>
        <w:t xml:space="preserve"> – родители опытная группа, </w:t>
      </w:r>
      <w:r>
        <w:rPr>
          <w:rFonts w:cs="Times New Roman" w:ascii="Times New Roman" w:hAnsi="Times New Roman"/>
          <w:sz w:val="24"/>
          <w:szCs w:val="24"/>
          <w:lang w:val="en-US"/>
        </w:rPr>
        <w:t>F</w:t>
      </w:r>
      <w:r>
        <w:rPr>
          <w:rFonts w:cs="Times New Roman" w:ascii="Times New Roman" w:hAnsi="Times New Roman"/>
          <w:sz w:val="24"/>
          <w:szCs w:val="24"/>
          <w:vertAlign w:val="subscript"/>
        </w:rPr>
        <w:t>1к</w:t>
      </w:r>
      <w:r>
        <w:rPr>
          <w:rFonts w:cs="Times New Roman" w:ascii="Times New Roman" w:hAnsi="Times New Roman"/>
          <w:sz w:val="24"/>
          <w:szCs w:val="24"/>
        </w:rPr>
        <w:t xml:space="preserve"> – первая генерация контрольная группа, </w:t>
      </w:r>
      <w:r>
        <w:rPr>
          <w:rFonts w:cs="Times New Roman" w:ascii="Times New Roman" w:hAnsi="Times New Roman"/>
          <w:sz w:val="24"/>
          <w:szCs w:val="24"/>
          <w:lang w:val="en-US"/>
        </w:rPr>
        <w:t>F</w:t>
      </w:r>
      <w:r>
        <w:rPr>
          <w:rFonts w:cs="Times New Roman" w:ascii="Times New Roman" w:hAnsi="Times New Roman"/>
          <w:sz w:val="24"/>
          <w:szCs w:val="24"/>
          <w:vertAlign w:val="subscript"/>
        </w:rPr>
        <w:t>1о</w:t>
      </w:r>
      <w:r>
        <w:rPr>
          <w:rFonts w:cs="Times New Roman" w:ascii="Times New Roman" w:hAnsi="Times New Roman"/>
          <w:sz w:val="24"/>
          <w:szCs w:val="24"/>
        </w:rPr>
        <w:t xml:space="preserve"> – первая генерация опытная группа, * - достоверные различия. </w:t>
      </w:r>
    </w:p>
    <w:p>
      <w:pPr>
        <w:pStyle w:val="NoSpacing"/>
        <w:spacing w:lineRule="auto" w:line="360"/>
        <w:ind w:firstLine="851"/>
        <w:jc w:val="both"/>
        <w:rPr>
          <w:rFonts w:ascii="Times New Roman" w:hAnsi="Times New Roman" w:cs="Times New Roman"/>
          <w:sz w:val="28"/>
          <w:szCs w:val="28"/>
        </w:rPr>
      </w:pPr>
      <w:r>
        <w:rPr>
          <w:rFonts w:cs="Times New Roman" w:ascii="Times New Roman" w:hAnsi="Times New Roman"/>
          <w:sz w:val="28"/>
          <w:szCs w:val="28"/>
        </w:rPr>
      </w:r>
    </w:p>
    <w:p>
      <w:pPr>
        <w:pStyle w:val="NoSpacing"/>
        <w:spacing w:lineRule="auto" w:line="360"/>
        <w:ind w:firstLine="851"/>
        <w:jc w:val="both"/>
        <w:rPr>
          <w:rFonts w:ascii="Times New Roman" w:hAnsi="Times New Roman" w:cs="Times New Roman"/>
          <w:sz w:val="28"/>
          <w:szCs w:val="28"/>
        </w:rPr>
      </w:pPr>
      <w:r>
        <w:rPr>
          <w:rFonts w:cs="Times New Roman" w:ascii="Times New Roman" w:hAnsi="Times New Roman"/>
          <w:sz w:val="28"/>
          <w:szCs w:val="28"/>
        </w:rPr>
        <w:t xml:space="preserve">Аналогичная закономерность отмечалась и у самок первого поколения. В опытной группе особи первой генерации были более плодовиты, по сравнению с контрольной группой. </w:t>
      </w:r>
    </w:p>
    <w:p>
      <w:pPr>
        <w:pStyle w:val="NoSpacing"/>
        <w:spacing w:lineRule="auto" w:line="360"/>
        <w:ind w:firstLine="851"/>
        <w:jc w:val="both"/>
        <w:rPr>
          <w:rFonts w:ascii="Times New Roman" w:hAnsi="Times New Roman" w:cs="Times New Roman"/>
          <w:sz w:val="28"/>
          <w:szCs w:val="28"/>
        </w:rPr>
      </w:pPr>
      <w:r>
        <w:rPr>
          <w:rFonts w:cs="Times New Roman" w:ascii="Times New Roman" w:hAnsi="Times New Roman"/>
          <w:sz w:val="28"/>
          <w:szCs w:val="28"/>
        </w:rPr>
        <w:t xml:space="preserve">Существенных различий плодовитости между родительским поколением и первым поколением самок, как в контроле, так и в опыте нами отмечено не было. </w:t>
      </w:r>
    </w:p>
    <w:p>
      <w:pPr>
        <w:pStyle w:val="NoSpacing"/>
        <w:spacing w:lineRule="auto" w:line="360"/>
        <w:ind w:firstLine="851"/>
        <w:jc w:val="both"/>
        <w:rPr>
          <w:rFonts w:ascii="Times New Roman" w:hAnsi="Times New Roman" w:cs="Times New Roman"/>
          <w:sz w:val="28"/>
          <w:szCs w:val="28"/>
        </w:rPr>
      </w:pPr>
      <w:r>
        <w:rPr>
          <w:rFonts w:cs="Times New Roman" w:ascii="Times New Roman" w:hAnsi="Times New Roman"/>
          <w:sz w:val="28"/>
          <w:szCs w:val="28"/>
        </w:rPr>
        <w:t xml:space="preserve">Анализируя результаты опыта, мы имеем основание предположить, что увеличение плодовитости под действием экзогенного гормона, связано с общестимулирующим его действием на обменные процессы. </w:t>
      </w:r>
    </w:p>
    <w:p>
      <w:pPr>
        <w:pStyle w:val="Normal"/>
        <w:spacing w:lineRule="auto" w:line="276" w:before="0" w:after="200"/>
        <w:ind w:hanging="0"/>
        <w:jc w:val="left"/>
        <w:rPr>
          <w:rFonts w:cs="Times New Roman"/>
          <w:sz w:val="28"/>
          <w:szCs w:val="28"/>
        </w:rPr>
      </w:pPr>
      <w:r>
        <w:rPr>
          <w:rFonts w:cs="Times New Roman"/>
          <w:sz w:val="28"/>
          <w:szCs w:val="28"/>
        </w:rPr>
      </w:r>
      <w:r>
        <w:br w:type="page"/>
      </w:r>
    </w:p>
    <w:p>
      <w:pPr>
        <w:pStyle w:val="NoSpacing"/>
        <w:spacing w:lineRule="auto" w:line="360"/>
        <w:jc w:val="center"/>
        <w:rPr>
          <w:rFonts w:ascii="Times New Roman" w:hAnsi="Times New Roman" w:cs="Times New Roman"/>
          <w:sz w:val="28"/>
          <w:szCs w:val="28"/>
        </w:rPr>
      </w:pPr>
      <w:r>
        <w:rPr>
          <w:rFonts w:cs="Times New Roman" w:ascii="Times New Roman" w:hAnsi="Times New Roman"/>
          <w:sz w:val="28"/>
          <w:szCs w:val="28"/>
        </w:rPr>
        <w:t>ВЫВОДЫ</w:t>
      </w:r>
    </w:p>
    <w:p>
      <w:pPr>
        <w:pStyle w:val="NoSpacing"/>
        <w:spacing w:lineRule="auto" w:line="360"/>
        <w:ind w:firstLine="851"/>
        <w:jc w:val="both"/>
        <w:rPr>
          <w:rFonts w:ascii="Times New Roman" w:hAnsi="Times New Roman" w:cs="Times New Roman"/>
          <w:sz w:val="28"/>
          <w:szCs w:val="28"/>
        </w:rPr>
      </w:pPr>
      <w:r>
        <w:rPr>
          <w:rFonts w:cs="Times New Roman" w:ascii="Times New Roman" w:hAnsi="Times New Roman"/>
          <w:sz w:val="28"/>
          <w:szCs w:val="28"/>
        </w:rPr>
        <w:t xml:space="preserve">Анализируя результаты работы, мы можем прийти к следующим выводам. </w:t>
      </w:r>
    </w:p>
    <w:p>
      <w:pPr>
        <w:pStyle w:val="NoSpacing"/>
        <w:spacing w:lineRule="auto" w:line="360"/>
        <w:ind w:firstLine="851"/>
        <w:jc w:val="both"/>
        <w:rPr>
          <w:rFonts w:ascii="Times New Roman" w:hAnsi="Times New Roman" w:cs="Times New Roman"/>
          <w:sz w:val="28"/>
          <w:szCs w:val="28"/>
        </w:rPr>
      </w:pPr>
      <w:r>
        <w:rPr>
          <w:rFonts w:cs="Times New Roman" w:ascii="Times New Roman" w:hAnsi="Times New Roman"/>
          <w:sz w:val="28"/>
          <w:szCs w:val="28"/>
        </w:rPr>
        <w:t xml:space="preserve">1. Линейные размеры дафний прямо пропорциональны наличию преднизолона в среде. Коэффициент вариации признака следует проверят в опытах многократной повторности в разных диапазонах концентрации гормона. </w:t>
      </w:r>
    </w:p>
    <w:p>
      <w:pPr>
        <w:pStyle w:val="NoSpacing"/>
        <w:spacing w:lineRule="auto" w:line="360"/>
        <w:ind w:firstLine="851"/>
        <w:jc w:val="both"/>
        <w:rPr>
          <w:rFonts w:ascii="Times New Roman" w:hAnsi="Times New Roman" w:cs="Times New Roman"/>
          <w:sz w:val="28"/>
          <w:szCs w:val="28"/>
        </w:rPr>
      </w:pPr>
      <w:r>
        <w:rPr>
          <w:rFonts w:cs="Times New Roman" w:ascii="Times New Roman" w:hAnsi="Times New Roman"/>
          <w:sz w:val="28"/>
          <w:szCs w:val="28"/>
        </w:rPr>
        <w:t xml:space="preserve">2. Преднизолон оказывает кардиотоксическое воздействие на дафний. Судя по характеру реакций – это стенофакторная реакция. Поэтому частота сердечных сокращений может быть в большей мере использована как мониторинговый признак. </w:t>
      </w:r>
    </w:p>
    <w:p>
      <w:pPr>
        <w:pStyle w:val="NoSpacing"/>
        <w:spacing w:lineRule="auto" w:line="360"/>
        <w:ind w:firstLine="851"/>
        <w:jc w:val="both"/>
        <w:rPr>
          <w:rFonts w:ascii="Times New Roman" w:hAnsi="Times New Roman" w:cs="Times New Roman"/>
          <w:sz w:val="28"/>
          <w:szCs w:val="28"/>
        </w:rPr>
      </w:pPr>
      <w:r>
        <w:rPr>
          <w:rFonts w:cs="Times New Roman" w:ascii="Times New Roman" w:hAnsi="Times New Roman"/>
          <w:sz w:val="28"/>
          <w:szCs w:val="28"/>
        </w:rPr>
        <w:t xml:space="preserve">3. Неодинаков характер репродуктивного потенциала у контрольных и опытных животных. В среде с наличием экзогенного гормона, дафнии более плодовиты, превышая репродуктивный потенциал контрольных особой в три раза. </w:t>
      </w:r>
    </w:p>
    <w:p>
      <w:pPr>
        <w:pStyle w:val="Normal"/>
        <w:spacing w:lineRule="auto" w:line="276" w:before="0" w:after="200"/>
        <w:ind w:firstLine="851"/>
        <w:rPr>
          <w:rFonts w:cs="Times New Roman"/>
          <w:sz w:val="28"/>
          <w:szCs w:val="28"/>
        </w:rPr>
      </w:pPr>
      <w:r>
        <w:rPr>
          <w:rFonts w:cs="Times New Roman"/>
          <w:sz w:val="28"/>
          <w:szCs w:val="28"/>
        </w:rPr>
      </w:r>
    </w:p>
    <w:p>
      <w:pPr>
        <w:pStyle w:val="NoSpacing"/>
        <w:spacing w:lineRule="auto" w:line="480"/>
        <w:ind w:firstLine="851"/>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before="0" w:after="200"/>
        <w:ind w:hanging="0"/>
        <w:jc w:val="left"/>
        <w:rPr>
          <w:rFonts w:cs="Times New Roman"/>
          <w:sz w:val="28"/>
          <w:szCs w:val="28"/>
        </w:rPr>
      </w:pPr>
      <w:r>
        <w:rPr>
          <w:rFonts w:cs="Times New Roman"/>
          <w:sz w:val="28"/>
          <w:szCs w:val="28"/>
        </w:rPr>
      </w:r>
      <w:r>
        <w:br w:type="page"/>
      </w:r>
    </w:p>
    <w:p>
      <w:pPr>
        <w:pStyle w:val="NoSpacing"/>
        <w:jc w:val="center"/>
        <w:rPr>
          <w:rFonts w:ascii="Times New Roman" w:hAnsi="Times New Roman" w:cs="Times New Roman"/>
          <w:sz w:val="28"/>
          <w:szCs w:val="28"/>
        </w:rPr>
      </w:pPr>
      <w:r>
        <w:rPr>
          <w:rFonts w:cs="Times New Roman" w:ascii="Times New Roman" w:hAnsi="Times New Roman"/>
          <w:b/>
          <w:sz w:val="28"/>
          <w:szCs w:val="28"/>
        </w:rPr>
        <w:t>Литература</w:t>
      </w:r>
    </w:p>
    <w:p>
      <w:pPr>
        <w:pStyle w:val="NoSpacing"/>
        <w:ind w:firstLine="851"/>
        <w:jc w:val="both"/>
        <w:rPr>
          <w:rFonts w:ascii="Times New Roman" w:hAnsi="Times New Roman" w:cs="Times New Roman"/>
          <w:sz w:val="28"/>
          <w:szCs w:val="28"/>
        </w:rPr>
      </w:pPr>
      <w:r>
        <w:rPr>
          <w:rFonts w:cs="Times New Roman" w:ascii="Times New Roman" w:hAnsi="Times New Roman"/>
          <w:sz w:val="28"/>
          <w:szCs w:val="28"/>
        </w:rPr>
        <w:t>1. Жмур Н. С. Методика определения токсичности воды и водных вытяжек из почв, осадков сточных вод, отходов по смертности и изменению плодовитости дафний. ФР.М.: АКВАРОС, 2007. 48 с.</w:t>
      </w:r>
    </w:p>
    <w:p>
      <w:pPr>
        <w:pStyle w:val="NoSpacing"/>
        <w:ind w:firstLine="851"/>
        <w:jc w:val="both"/>
        <w:rPr>
          <w:rFonts w:ascii="Times New Roman" w:hAnsi="Times New Roman" w:cs="Times New Roman"/>
          <w:sz w:val="28"/>
          <w:szCs w:val="28"/>
        </w:rPr>
      </w:pPr>
      <w:r>
        <w:rPr>
          <w:rStyle w:val="Strong"/>
          <w:rFonts w:cs="Times New Roman" w:ascii="Times New Roman" w:hAnsi="Times New Roman"/>
          <w:b w:val="false"/>
          <w:bCs w:val="false"/>
          <w:sz w:val="28"/>
          <w:szCs w:val="28"/>
        </w:rPr>
        <w:t xml:space="preserve">2. К некоторым вопросам эволюции. Филогенез систем органов у животных. </w:t>
      </w:r>
      <w:r>
        <w:rPr>
          <w:rFonts w:cs="Times New Roman" w:ascii="Times New Roman" w:hAnsi="Times New Roman"/>
          <w:sz w:val="28"/>
          <w:szCs w:val="28"/>
        </w:rPr>
        <w:t xml:space="preserve"> / Ходжаян А.Б.,  Федоренко Н.Н., Краснова Л.А. - Изд: СтГМА. 2009г. 31 с.</w:t>
      </w:r>
    </w:p>
    <w:p>
      <w:pPr>
        <w:pStyle w:val="NoSpacing"/>
        <w:ind w:firstLine="851"/>
        <w:jc w:val="both"/>
        <w:rPr>
          <w:rFonts w:ascii="Times New Roman" w:hAnsi="Times New Roman" w:cs="Times New Roman"/>
          <w:sz w:val="28"/>
          <w:szCs w:val="28"/>
        </w:rPr>
      </w:pPr>
      <w:r>
        <w:rPr>
          <w:rFonts w:cs="Times New Roman" w:ascii="Times New Roman" w:hAnsi="Times New Roman"/>
          <w:sz w:val="28"/>
          <w:szCs w:val="28"/>
        </w:rPr>
        <w:t>3. Кудикина Н.П. Особенности ответных реакций организма ракообразных на экзогенные эндокринные соединения // Тезисы докладов VIII съезда гидробиологического общества РАН. Калининград, 2001. Т. 1. C. 18—22.</w:t>
      </w:r>
    </w:p>
    <w:p>
      <w:pPr>
        <w:pStyle w:val="NoSpacing"/>
        <w:ind w:firstLine="851"/>
        <w:jc w:val="both"/>
        <w:rPr>
          <w:rFonts w:ascii="Times New Roman" w:hAnsi="Times New Roman" w:cs="Times New Roman"/>
          <w:sz w:val="28"/>
          <w:szCs w:val="28"/>
        </w:rPr>
      </w:pPr>
      <w:r>
        <w:rPr>
          <w:rFonts w:cs="Times New Roman" w:ascii="Times New Roman" w:hAnsi="Times New Roman"/>
          <w:sz w:val="28"/>
          <w:szCs w:val="28"/>
        </w:rPr>
        <w:t>4. Кудикина, Н. П. Экологические аспекты динамики стероидных гормонов в репродуктивном цикле морских двустворчатых, брюхоногих  и головоногих моллюсков //Уч.зап.Казанского ун-та.2007.Т.9, № 3. С.214—224.</w:t>
      </w:r>
    </w:p>
    <w:p>
      <w:pPr>
        <w:pStyle w:val="NoSpacing"/>
        <w:ind w:firstLine="851"/>
        <w:jc w:val="both"/>
        <w:rPr>
          <w:rFonts w:ascii="Times New Roman" w:hAnsi="Times New Roman" w:cs="Times New Roman"/>
          <w:sz w:val="28"/>
          <w:szCs w:val="28"/>
        </w:rPr>
      </w:pPr>
      <w:r>
        <w:rPr>
          <w:rFonts w:cs="Times New Roman" w:ascii="Times New Roman" w:hAnsi="Times New Roman"/>
          <w:sz w:val="28"/>
          <w:szCs w:val="28"/>
        </w:rPr>
        <w:t xml:space="preserve">5. Кудикина, Н.П. Интегративные системы гидробионтов и их роль в экологическом мониторинге. // Вестник Российского государственного университета им. И. Канта, № 7, 2008. С. 60-66. </w:t>
      </w:r>
    </w:p>
    <w:p>
      <w:pPr>
        <w:pStyle w:val="NoSpacing"/>
        <w:ind w:firstLine="851"/>
        <w:jc w:val="both"/>
        <w:rPr>
          <w:rFonts w:ascii="Times New Roman" w:hAnsi="Times New Roman" w:cs="Times New Roman"/>
          <w:sz w:val="28"/>
          <w:szCs w:val="28"/>
        </w:rPr>
      </w:pPr>
      <w:r>
        <w:rPr>
          <w:rFonts w:cs="Times New Roman" w:ascii="Times New Roman" w:hAnsi="Times New Roman"/>
          <w:sz w:val="28"/>
          <w:szCs w:val="28"/>
        </w:rPr>
        <w:t xml:space="preserve">6. Кудикина, Н.П. Стероидные гормоны в жизненном цикле двустворчатых моллюсков. // Вестник Балтийского университета им. И. Канта, № 7, 2013. С. 78-85. </w:t>
      </w:r>
    </w:p>
    <w:p>
      <w:pPr>
        <w:pStyle w:val="NoSpacing"/>
        <w:ind w:firstLine="851"/>
        <w:jc w:val="both"/>
        <w:rPr>
          <w:rFonts w:ascii="Times New Roman" w:hAnsi="Times New Roman" w:cs="Times New Roman"/>
          <w:sz w:val="28"/>
          <w:szCs w:val="28"/>
        </w:rPr>
      </w:pPr>
      <w:r>
        <w:rPr>
          <w:rFonts w:cs="Times New Roman" w:ascii="Times New Roman" w:hAnsi="Times New Roman"/>
          <w:sz w:val="28"/>
          <w:szCs w:val="28"/>
        </w:rPr>
        <w:t>7. Кудикина, Н. П., 2015 Daphnia magna Straus (1826) (Cladocera, Crustacea) как тест-объект для оценки эндокринных нарушений у гидробионтов. // Вестник Балтийского федерального университета им. И. Канта. 2015. Вып. 1. С. 122—130.</w:t>
      </w:r>
    </w:p>
    <w:p>
      <w:pPr>
        <w:pStyle w:val="NoSpacing"/>
        <w:ind w:firstLine="851"/>
        <w:jc w:val="both"/>
        <w:rPr>
          <w:rFonts w:ascii="Times New Roman" w:hAnsi="Times New Roman" w:cs="Times New Roman"/>
          <w:sz w:val="28"/>
          <w:szCs w:val="28"/>
        </w:rPr>
      </w:pPr>
      <w:r>
        <w:rPr>
          <w:rFonts w:cs="Times New Roman" w:ascii="Times New Roman" w:hAnsi="Times New Roman"/>
          <w:sz w:val="28"/>
          <w:szCs w:val="28"/>
        </w:rPr>
        <w:t xml:space="preserve">8. Лихачев, С.В. Биотестирование в экологическом мониторинге: учебно-методическое пособие / С.В. Лихачев, Е.В. Пименова, С.Н. Жакова. – Пермь: ИПЦ «Прокростъ», 2020. 89 с. </w:t>
      </w:r>
    </w:p>
    <w:p>
      <w:pPr>
        <w:pStyle w:val="NoSpacing"/>
        <w:ind w:firstLine="851"/>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9. Никитина, С.М. Стероидные гормоны беспозвоночных животных / С. М. Никитина. - Л. : Изд-во ЛГУ, 1982. - 172 с.</w:t>
      </w:r>
    </w:p>
    <w:p>
      <w:pPr>
        <w:pStyle w:val="NoSpacing"/>
        <w:ind w:firstLine="851"/>
        <w:jc w:val="both"/>
        <w:rPr>
          <w:rFonts w:ascii="Times New Roman" w:hAnsi="Times New Roman" w:cs="Times New Roman"/>
          <w:sz w:val="28"/>
          <w:szCs w:val="28"/>
        </w:rPr>
      </w:pPr>
      <w:r>
        <w:rPr>
          <w:rFonts w:cs="Times New Roman" w:ascii="Times New Roman" w:hAnsi="Times New Roman"/>
          <w:sz w:val="28"/>
          <w:szCs w:val="28"/>
        </w:rPr>
        <w:t xml:space="preserve">10. Рупперт, Э.Э., Фокс С.Р. Барнс Д.Р.. Зоология беспозвоночных. Том 1. – М.: Академия, 2008 г. -  484 с.  </w:t>
      </w:r>
    </w:p>
    <w:p>
      <w:pPr>
        <w:pStyle w:val="NoSpacing"/>
        <w:ind w:firstLine="851"/>
        <w:jc w:val="both"/>
        <w:rPr>
          <w:rFonts w:ascii="Times New Roman" w:hAnsi="Times New Roman" w:cs="Times New Roman"/>
          <w:sz w:val="28"/>
          <w:szCs w:val="28"/>
        </w:rPr>
      </w:pPr>
      <w:r>
        <w:rPr>
          <w:rFonts w:cs="Times New Roman" w:ascii="Times New Roman" w:hAnsi="Times New Roman"/>
          <w:sz w:val="28"/>
          <w:szCs w:val="28"/>
        </w:rPr>
        <w:t>11. Рупперт, Э.Э., Фокс С.Р. Барнс Д.Р., Зоология беспозвоночных. Том 3. - М.: Академия, 2008 г. -  487 с.</w:t>
      </w:r>
    </w:p>
    <w:p>
      <w:pPr>
        <w:pStyle w:val="NoSpacing"/>
        <w:ind w:firstLine="851"/>
        <w:jc w:val="both"/>
        <w:rPr>
          <w:rFonts w:ascii="Times New Roman" w:hAnsi="Times New Roman" w:cs="Times New Roman"/>
          <w:sz w:val="28"/>
          <w:szCs w:val="28"/>
          <w:shd w:fill="FFFFFF" w:val="clear"/>
        </w:rPr>
      </w:pPr>
      <w:r>
        <w:rPr>
          <w:rFonts w:cs="Times New Roman" w:ascii="Times New Roman" w:hAnsi="Times New Roman"/>
          <w:sz w:val="28"/>
          <w:szCs w:val="28"/>
        </w:rPr>
        <w:t xml:space="preserve">12. Проссер, Л. Сравнительная физиология животных. Т. 3. - М., 1977. - 640 с. </w:t>
      </w:r>
    </w:p>
    <w:p>
      <w:pPr>
        <w:pStyle w:val="NoSpacing"/>
        <w:ind w:firstLine="851"/>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 xml:space="preserve">13. Степанчук, Н.А., Прилипко, Н.И. Практикум по общей экологии. – Волгоград, Учитель, 2009. – 209 с. </w:t>
      </w:r>
    </w:p>
    <w:p>
      <w:pPr>
        <w:pStyle w:val="NoSpacing"/>
        <w:ind w:firstLine="851"/>
        <w:jc w:val="both"/>
        <w:rPr>
          <w:rFonts w:ascii="Times New Roman" w:hAnsi="Times New Roman" w:cs="Times New Roman"/>
          <w:sz w:val="28"/>
          <w:szCs w:val="28"/>
        </w:rPr>
      </w:pPr>
      <w:r>
        <w:rPr>
          <w:rFonts w:cs="Times New Roman" w:ascii="Times New Roman" w:hAnsi="Times New Roman"/>
          <w:sz w:val="28"/>
          <w:szCs w:val="28"/>
        </w:rPr>
        <w:t xml:space="preserve">14. Теппермен, Дж., Теппермен, Х. Физиология обмена веществ и эндокринной системы. Воодный курс. – М.: Мир, 1989. – 656 с. </w:t>
      </w:r>
    </w:p>
    <w:p>
      <w:pPr>
        <w:pStyle w:val="NoSpacing"/>
        <w:ind w:firstLine="851"/>
        <w:jc w:val="both"/>
        <w:rPr>
          <w:rFonts w:ascii="Times New Roman" w:hAnsi="Times New Roman" w:cs="Times New Roman"/>
          <w:sz w:val="28"/>
          <w:szCs w:val="28"/>
          <w:lang w:val="en-US"/>
        </w:rPr>
      </w:pPr>
      <w:r>
        <w:rPr>
          <w:rFonts w:cs="Times New Roman" w:ascii="Times New Roman" w:hAnsi="Times New Roman"/>
          <w:sz w:val="28"/>
          <w:szCs w:val="28"/>
        </w:rPr>
        <w:t xml:space="preserve">15. Шарова И.Х. Зоология беспозвоночных. – М.: ВЛАДОС, 2002. </w:t>
      </w:r>
      <w:r>
        <w:rPr>
          <w:rFonts w:cs="Times New Roman" w:ascii="Times New Roman" w:hAnsi="Times New Roman"/>
          <w:sz w:val="28"/>
          <w:szCs w:val="28"/>
          <w:lang w:val="en-US"/>
        </w:rPr>
        <w:t xml:space="preserve">592 </w:t>
      </w:r>
      <w:r>
        <w:rPr>
          <w:rFonts w:cs="Times New Roman" w:ascii="Times New Roman" w:hAnsi="Times New Roman"/>
          <w:sz w:val="28"/>
          <w:szCs w:val="28"/>
        </w:rPr>
        <w:t>с</w:t>
      </w:r>
      <w:r>
        <w:rPr>
          <w:rFonts w:cs="Times New Roman" w:ascii="Times New Roman" w:hAnsi="Times New Roman"/>
          <w:sz w:val="28"/>
          <w:szCs w:val="28"/>
          <w:lang w:val="en-US"/>
        </w:rPr>
        <w:t xml:space="preserve">. </w:t>
      </w:r>
    </w:p>
    <w:p>
      <w:pPr>
        <w:pStyle w:val="NoSpacing"/>
        <w:ind w:firstLine="851"/>
        <w:jc w:val="both"/>
        <w:rPr>
          <w:rFonts w:ascii="Times New Roman" w:hAnsi="Times New Roman" w:cs="Times New Roman"/>
          <w:sz w:val="28"/>
          <w:szCs w:val="28"/>
          <w:lang w:val="en-US"/>
        </w:rPr>
      </w:pPr>
      <w:r>
        <w:rPr>
          <w:rFonts w:cs="Times New Roman" w:ascii="Times New Roman" w:hAnsi="Times New Roman"/>
          <w:sz w:val="28"/>
          <w:szCs w:val="28"/>
          <w:lang w:val="en-US"/>
        </w:rPr>
        <w:t xml:space="preserve">16. Dodson S.I., Shurin I.B., Girvin K.M. Daphnia reproductive bioassay for testing toxicity of agueous samples and presence of an endocrine disrupter // Wisconsin Alum. Research Foundation. 2000. № 8. </w:t>
      </w:r>
      <w:r>
        <w:rPr>
          <w:rFonts w:cs="Times New Roman" w:ascii="Times New Roman" w:hAnsi="Times New Roman"/>
          <w:sz w:val="28"/>
          <w:szCs w:val="28"/>
        </w:rPr>
        <w:t>Р</w:t>
      </w:r>
      <w:r>
        <w:rPr>
          <w:rFonts w:cs="Times New Roman" w:ascii="Times New Roman" w:hAnsi="Times New Roman"/>
          <w:sz w:val="28"/>
          <w:szCs w:val="28"/>
          <w:lang w:val="en-US"/>
        </w:rPr>
        <w:t>. 76 ─ 84</w:t>
      </w:r>
    </w:p>
    <w:p>
      <w:pPr>
        <w:pStyle w:val="NoSpacing"/>
        <w:ind w:firstLine="851"/>
        <w:jc w:val="both"/>
        <w:rPr>
          <w:rFonts w:ascii="Times New Roman" w:hAnsi="Times New Roman" w:cs="Times New Roman"/>
          <w:sz w:val="28"/>
          <w:szCs w:val="28"/>
          <w:lang w:val="en-US"/>
        </w:rPr>
      </w:pPr>
      <w:r>
        <w:rPr>
          <w:rFonts w:cs="Times New Roman" w:ascii="Times New Roman" w:hAnsi="Times New Roman"/>
          <w:sz w:val="28"/>
          <w:szCs w:val="28"/>
          <w:lang w:val="en-US"/>
        </w:rPr>
        <w:t xml:space="preserve">17. Methods for measuring the acute toxicity of effluents and receiving waters to freshwater and marine organisms. </w:t>
      </w:r>
      <w:r>
        <w:rPr>
          <w:rFonts w:cs="Times New Roman" w:ascii="Times New Roman" w:hAnsi="Times New Roman"/>
          <w:sz w:val="28"/>
          <w:szCs w:val="28"/>
        </w:rPr>
        <w:t>EPA-821-R-02-012 - U.S. Environmental Protection Agency, 2002 266 p.</w:t>
      </w:r>
    </w:p>
    <w:sectPr>
      <w:type w:val="nextPage"/>
      <w:pgSz w:w="11906" w:h="16838"/>
      <w:pgMar w:left="1418" w:right="851" w:header="0" w:top="1134" w:footer="0" w:bottom="1134" w:gutter="0"/>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e6550"/>
    <w:pPr>
      <w:widowControl/>
      <w:suppressAutoHyphens w:val="true"/>
      <w:bidi w:val="0"/>
      <w:spacing w:lineRule="auto" w:line="240" w:before="0" w:after="0"/>
      <w:ind w:firstLine="567"/>
      <w:jc w:val="both"/>
    </w:pPr>
    <w:rPr>
      <w:rFonts w:ascii="Times New Roman" w:hAnsi="Times New Roman" w:eastAsia="Calibri" w:cs="" w:cstheme="minorBidi" w:eastAsiaTheme="minorHAnsi"/>
      <w:color w:val="auto"/>
      <w:kern w:val="0"/>
      <w:sz w:val="24"/>
      <w:szCs w:val="22"/>
      <w:lang w:val="ru-RU" w:eastAsia="en-US" w:bidi="ar-SA"/>
    </w:rPr>
  </w:style>
  <w:style w:type="paragraph" w:styleId="2">
    <w:name w:val="Heading 2"/>
    <w:basedOn w:val="Normal"/>
    <w:link w:val="20"/>
    <w:uiPriority w:val="9"/>
    <w:qFormat/>
    <w:rsid w:val="00444053"/>
    <w:pPr>
      <w:spacing w:beforeAutospacing="1" w:afterAutospacing="1"/>
      <w:ind w:hanging="0"/>
      <w:jc w:val="left"/>
      <w:outlineLvl w:val="1"/>
    </w:pPr>
    <w:rPr>
      <w:rFonts w:eastAsia="Times New Roman" w:cs="Times New Roman"/>
      <w:b/>
      <w:bCs/>
      <w:sz w:val="36"/>
      <w:szCs w:val="36"/>
      <w:lang w:eastAsia="ru-RU"/>
    </w:rPr>
  </w:style>
  <w:style w:type="character" w:styleId="DefaultParagraphFont" w:default="1">
    <w:name w:val="Default Paragraph Font"/>
    <w:uiPriority w:val="1"/>
    <w:semiHidden/>
    <w:unhideWhenUsed/>
    <w:qFormat/>
    <w:rPr/>
  </w:style>
  <w:style w:type="character" w:styleId="Style13">
    <w:name w:val="Интернет-ссылка"/>
    <w:basedOn w:val="DefaultParagraphFont"/>
    <w:uiPriority w:val="99"/>
    <w:unhideWhenUsed/>
    <w:rsid w:val="00933b97"/>
    <w:rPr>
      <w:color w:val="0000FF"/>
      <w:u w:val="single"/>
    </w:rPr>
  </w:style>
  <w:style w:type="character" w:styleId="Style14" w:customStyle="1">
    <w:name w:val="Текст выноски Знак"/>
    <w:basedOn w:val="DefaultParagraphFont"/>
    <w:link w:val="a5"/>
    <w:uiPriority w:val="99"/>
    <w:semiHidden/>
    <w:qFormat/>
    <w:rsid w:val="00933b97"/>
    <w:rPr>
      <w:rFonts w:ascii="Tahoma" w:hAnsi="Tahoma" w:cs="Tahoma"/>
      <w:sz w:val="16"/>
      <w:szCs w:val="16"/>
    </w:rPr>
  </w:style>
  <w:style w:type="character" w:styleId="Strong">
    <w:name w:val="Strong"/>
    <w:basedOn w:val="DefaultParagraphFont"/>
    <w:uiPriority w:val="22"/>
    <w:qFormat/>
    <w:rsid w:val="005b6627"/>
    <w:rPr>
      <w:b/>
      <w:bCs/>
    </w:rPr>
  </w:style>
  <w:style w:type="character" w:styleId="Help" w:customStyle="1">
    <w:name w:val="help"/>
    <w:basedOn w:val="DefaultParagraphFont"/>
    <w:qFormat/>
    <w:rsid w:val="00fc1e69"/>
    <w:rPr/>
  </w:style>
  <w:style w:type="character" w:styleId="Help1" w:customStyle="1">
    <w:name w:val="help1"/>
    <w:basedOn w:val="DefaultParagraphFont"/>
    <w:qFormat/>
    <w:rsid w:val="00fc1e69"/>
    <w:rPr/>
  </w:style>
  <w:style w:type="character" w:styleId="21" w:customStyle="1">
    <w:name w:val="Заголовок 2 Знак"/>
    <w:basedOn w:val="DefaultParagraphFont"/>
    <w:link w:val="2"/>
    <w:uiPriority w:val="9"/>
    <w:qFormat/>
    <w:rsid w:val="00444053"/>
    <w:rPr>
      <w:rFonts w:ascii="Times New Roman" w:hAnsi="Times New Roman" w:eastAsia="Times New Roman" w:cs="Times New Roman"/>
      <w:b/>
      <w:bCs/>
      <w:sz w:val="36"/>
      <w:szCs w:val="36"/>
      <w:lang w:eastAsia="ru-RU"/>
    </w:rPr>
  </w:style>
  <w:style w:type="character" w:styleId="Organictitlecontentspan" w:customStyle="1">
    <w:name w:val="organictitlecontentspan"/>
    <w:basedOn w:val="DefaultParagraphFont"/>
    <w:qFormat/>
    <w:rsid w:val="00444053"/>
    <w:rPr/>
  </w:style>
  <w:style w:type="character" w:styleId="Pathseparator" w:customStyle="1">
    <w:name w:val="path-separator"/>
    <w:basedOn w:val="DefaultParagraphFont"/>
    <w:qFormat/>
    <w:rsid w:val="00444053"/>
    <w:rPr/>
  </w:style>
  <w:style w:type="character" w:styleId="Extendedtextshort" w:customStyle="1">
    <w:name w:val="extendedtext-short"/>
    <w:basedOn w:val="DefaultParagraphFont"/>
    <w:qFormat/>
    <w:rsid w:val="00444053"/>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NoSpacing">
    <w:name w:val="No Spacing"/>
    <w:uiPriority w:val="1"/>
    <w:qFormat/>
    <w:rsid w:val="0051282a"/>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BalloonText">
    <w:name w:val="Balloon Text"/>
    <w:basedOn w:val="Normal"/>
    <w:link w:val="a6"/>
    <w:uiPriority w:val="99"/>
    <w:semiHidden/>
    <w:unhideWhenUsed/>
    <w:qFormat/>
    <w:rsid w:val="00933b97"/>
    <w:pPr/>
    <w:rPr>
      <w:rFonts w:ascii="Tahoma" w:hAnsi="Tahoma" w:cs="Tahoma"/>
      <w:sz w:val="16"/>
      <w:szCs w:val="16"/>
    </w:rPr>
  </w:style>
  <w:style w:type="paragraph" w:styleId="NormalWeb">
    <w:name w:val="Normal (Web)"/>
    <w:basedOn w:val="Normal"/>
    <w:uiPriority w:val="99"/>
    <w:semiHidden/>
    <w:unhideWhenUsed/>
    <w:qFormat/>
    <w:rsid w:val="005b6627"/>
    <w:pPr>
      <w:spacing w:beforeAutospacing="1" w:afterAutospacing="1"/>
      <w:ind w:hanging="0"/>
      <w:jc w:val="left"/>
    </w:pPr>
    <w:rPr>
      <w:rFonts w:eastAsia="Times New Roman" w:cs="Times New Roman"/>
      <w:szCs w:val="24"/>
      <w:lang w:eastAsia="ru-RU"/>
    </w:rPr>
  </w:style>
  <w:style w:type="paragraph" w:styleId="Bigtext" w:customStyle="1">
    <w:name w:val="bigtext"/>
    <w:basedOn w:val="Normal"/>
    <w:qFormat/>
    <w:rsid w:val="00fc1e69"/>
    <w:pPr>
      <w:spacing w:beforeAutospacing="1" w:afterAutospacing="1"/>
      <w:ind w:hanging="0"/>
      <w:jc w:val="left"/>
    </w:pPr>
    <w:rPr>
      <w:rFonts w:eastAsia="Times New Roman" w:cs="Times New Roman"/>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uiPriority w:val="59"/>
    <w:rsid w:val="00e73ff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LibreOffice/7.0.4.2$Windows_X86_64 LibreOffice_project/dcf040e67528d9187c66b2379df5ea4407429775</Application>
  <AppVersion>15.0000</AppVersion>
  <Pages>11</Pages>
  <Words>2150</Words>
  <Characters>13973</Characters>
  <CharactersWithSpaces>15978</CharactersWithSpaces>
  <Paragraphs>260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2022-02-21T22:42:00Z</dcterms:created>
  <dc:creator>LenovoAMD5</dc:creator>
  <dc:description/>
  <dc:language>ru-RU</dc:language>
  <cp:lastModifiedBy/>
  <cp:lastPrinted>2022-01-12T09:42:00Z</cp:lastPrinted>
  <dcterms:modified xsi:type="dcterms:W3CDTF">2023-01-19T23:20:23Z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