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Муниципальное автономное общеобразовательное учреждение</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“Гимназия №141” Советского района г. Казани</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Исследовательская работа:</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«Сообщества эпифитных миксомицетов дубов в лесах с его участием на примере некоторых лесных массивов Республики Татарстан»</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Работу выполнила:</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Исаева З. Е., 10 класс</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Руководитель:</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Потапов К.О.,</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педагог дополнительного образования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МБУ ДО «ЦДТ «Танкодром»,</w:t>
        <w:br w:type="textWrapping"/>
        <w:t xml:space="preserve">старший преподаватель кафедры</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общей экологии ИЭиП КФУ</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Республика Татарстан - 2024</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Оглавление</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ГЛАВА I. ТЕОРЕТИЧЕСКАЯ ЧАСТЬ</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Введение.........................................................................................................</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2</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2. Обзор литературы…......................................................................................</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4</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2.1. Характеристика миксомицетов………………………………………….</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4</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2.2.. Дубравы </w:t>
      </w:r>
      <w:r w:rsidDel="00000000" w:rsidR="00000000" w:rsidRPr="00000000">
        <w:rPr>
          <w:rFonts w:ascii="Times New Roman" w:cs="Times New Roman" w:eastAsia="Times New Roman" w:hAnsi="Times New Roman"/>
          <w:sz w:val="28"/>
          <w:szCs w:val="28"/>
          <w:rtl w:val="0"/>
        </w:rPr>
        <w:t xml:space="preserve">и лес с участием дуба </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Татарстана............................................</w:t>
      </w: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ГЛАВА II. ПРАКТИЧЕСКАЯ ЧАСТЬ</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3. Отбор проб...................................................................................................</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10</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4.Материалы и методы....................................................................................</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11</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ГЛАВА III. РЕЗУЛЬТАТЫ И ОБСУЖДЕНИЯ</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5. Результаты и обсуждения...........................................................................</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13</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6. Заключение................................................................................................. </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1</w:t>
      </w: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7.Выводы…………………………………………………………….…….... </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1</w:t>
      </w:r>
      <w:r w:rsidDel="00000000" w:rsidR="00000000" w:rsidRPr="00000000">
        <w:rPr>
          <w:rFonts w:ascii="Times New Roman" w:cs="Times New Roman" w:eastAsia="Times New Roman" w:hAnsi="Times New Roman"/>
          <w:sz w:val="28"/>
          <w:szCs w:val="28"/>
          <w:rtl w:val="0"/>
        </w:rPr>
        <w:t xml:space="preserve">8</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Список использованной литературы</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ГЛАВА I. ТЕОРЕТИЧЕСКАЯ ЧАСТЬ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1.Введение</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Миксомицеты представляют собой четвертое макроскопическое царство, представителей которого можно обнаружить в наших лесах. Это удивительная группа живых организмов когда-то ответвилась от эволюционной ветви, давшей в последующем два широко распространенных царства: царство животных и царство грибов. В действительности миксомицеты имеют некоторые схожие черты и с животными, и с грибами. На определенной жизненной стадии они способны активно передвигаться и питаться органическим веществом, попадающимся на пути, активно поглощают простейших и бактерий, а к началу размножения формируют похожие на плодовые тела грибов структуры, внутри которых также созревают споры.</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сожалению, разнообразию миксомицетов долгое время не уделяли должного внимания, поэтому в настоящий момент продолжают описываться все новые для науки виды даже с, казалось бы, хорошо изученных территорий. Что касается территории Татарстана, то она остается почти неисследованной и по настоящий день. Известно менее десятка работ, описывающих разнообразие миксомицетов столь богатого на условия обитания региона. Основной пик изучения приходится на последние десять лет, и уже сейчас известно не менее полутора сотен видов. Однако помимо разнообразия необходимо изучать и закономерности распространения, специфику адаптаций к различным факторам, приуроченность к макро- и микроусловиям обитания.</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Миксомицеты, будучи в большинстве своём небольшими организмами, крайне чувствительны с микроусловиям, будь то тип субстрата, условия увлажнения, освещения, pH и специфика морфологии поверхности и др. Разнообразие их будет сильно зависеть от того, какой субстрат на предмет их разнообразия подвергается исследованию. Так, поверхность елового валежа будет домом для одних видов, а кора живой березы – для других. Конечно, среди миксомицетов встречаются и эврибионтные виды, которые не склонны предъявлять жестких требований к описанным условиям.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Цель данной работы: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установить разнообразие эпифитных миксомицетов дубов в лесных сообществах Республики Татарстан.</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Предметы исследования: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видовая состав, структура и особенности формирования сообществ эпифитных миксомицетов Татарстана.</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Объекты исследования: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эпифитные миксомицеты лесов с участием дуба в Республике Татарстан.</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Гипотеза: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Специфика лесных сообществ с участием дуба проявляется в отношении населяемых их организмов, в том числе миксомицетов, для которых особенно важны условия микроместообитаний, формируемые на коре дуба.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таким местообитаниям также относятся подстилка, отдельные валежники, пни, крона деревьев и др. </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Задачи исследования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Продолжить эксперимент по культивации миксомицетов в чашках Петри с корой дубов, собранной в 2022 году (Кайбицкий р-н, г Казань);</w:t>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Собрать кору с дубов в лесных сообществах с участием дуба лесного массива «Экопарк «Дубрава» (Приволжский р-н, г. Казань);</w:t>
      </w:r>
    </w:p>
    <w:p w:rsidR="00000000" w:rsidDel="00000000" w:rsidP="00000000" w:rsidRDefault="00000000" w:rsidRPr="00000000" w14:paraId="000000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Заложить кору в заранее подготовленные чашки Петри с целью последующего культивирования миксомицетов;</w:t>
      </w: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Определить видовое разнообразие миксомицетов по спороношениям с использования ряда отечественных и зарубежных определителей;</w:t>
      </w: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Сравнить видовое разнообразие и особенности пространственного распределения миксомицетов.</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2.Литературный обзор</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2.1. Характеристика миксомицетов</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Миксомицеты (лат. Mycetozoa, от греч. μύκητος - «гриб» и ζωον – «животное» или Myxomycota от μύξα – «слизь» и μύκητος) – тип слизевиков, входящий в состав супергруппы Amoebozoa [12]. Насчитывает около 1000 видов. В России обнаружено около 460 видов [1]. На определённой стадии жизненного цикла все миксомицеты имеют вид плазмодия или псевдоплазмодия. У большинства видов он виден невооружённым глазом и способен передвигаться. Из плазмодия или псевдоплазмодия формируются спороношения, которые часто </w:t>
      </w:r>
      <w:r w:rsidDel="00000000" w:rsidR="00000000" w:rsidRPr="00000000">
        <w:rPr>
          <w:rFonts w:ascii="Times New Roman" w:cs="Times New Roman" w:eastAsia="Times New Roman" w:hAnsi="Times New Roman"/>
          <w:sz w:val="28"/>
          <w:szCs w:val="28"/>
          <w:rtl w:val="0"/>
        </w:rPr>
        <w:t xml:space="preserve"> внешне схожи с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плодовы</w:t>
      </w:r>
      <w:r w:rsidDel="00000000" w:rsidR="00000000" w:rsidRPr="00000000">
        <w:rPr>
          <w:rFonts w:ascii="Times New Roman" w:cs="Times New Roman" w:eastAsia="Times New Roman" w:hAnsi="Times New Roman"/>
          <w:sz w:val="28"/>
          <w:szCs w:val="28"/>
          <w:rtl w:val="0"/>
        </w:rPr>
        <w:t xml:space="preserve">ми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телами грибов. Споры прорастают подвижными клетками, из которых различными путями образуется плазмодий или псевдоплазмодий.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Слизевики – гетеротрофы. Зооспоры, миксамёбы и плазмодии способны питаться осмотрофно (всасыванием питательных веществ через клеточную мембрану) и (или) путём эндоцитоза (захватывать внутрь клетки пузырьки с частицами пищи).</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Все миксомицеты свободноживущие организмы и живут в наземных местообитаниях.</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Помимо плазмодия в жизненный цикл миксомицетов входит также спорокарп, или плодовое тело (структура, образующая и рассеивающая споры), спора и стадия между неактивной спорой и плазмодием — зооспора и/или миксамеба. Зооспоры имеют постоянную форму тела и движутся с помощью жгутиков, миксамебы же постояннной формы тела не имеют, движутся с помощью псевдоподий, но могут иметь и жгутики. В зависимости от наличия полового процесса жизненные циклы миксов делят на два типа: гетероталличный и апогамный.</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случае гетероталличного цикла спора прорастает либо зооспорой, либо миксамебой, затем две таких клетки сливаются, происходит кариогамия (слияние ядер), и после многократного митотического деления ядра образуется новый плазмодий. В гетероталличном жизненном цикле основная особенность – слияние двух гаплоидных зооспор или миксамеб, фактически являющихся гаметами. После слияния из зиготы развивается диплоидный плазмодий. Также возможна стадия склероция – неактивная покоящаяся форма, похожая на плазмодий, которая необходима для перенесения неблагоприятных условий (своеобразная форма «спячки» плазмодия). Логическим следствием является разделение цикла на гаплоидную фазу и диплоидную.</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апогамном жизненном цикле из споры выходит миксамёба, ни с кем не сливается и дает начало новому плазмодию [15].</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Трофические стадии миксомицетов, представляющие собой доминирующую группу почвенных простейших, питаются бактериями.</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основании изучения распространения спорофоров, выделяют следующие эколого-трофические группы миксомицетов:</w:t>
      </w:r>
    </w:p>
    <w:p w:rsidR="00000000" w:rsidDel="00000000" w:rsidP="00000000" w:rsidRDefault="00000000" w:rsidRPr="00000000" w14:paraId="000000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Лигнофильные – встречаются на гниющей древесине;</w:t>
      </w:r>
    </w:p>
    <w:p w:rsidR="00000000" w:rsidDel="00000000" w:rsidP="00000000" w:rsidRDefault="00000000" w:rsidRPr="00000000" w14:paraId="0000005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Кортикальные – встречаются на коре живых деревьев и кустарников;</w:t>
      </w:r>
    </w:p>
    <w:p w:rsidR="00000000" w:rsidDel="00000000" w:rsidP="00000000" w:rsidRDefault="00000000" w:rsidRPr="00000000" w14:paraId="0000005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Подстилочные и почвенные – встречаются в верхнем почвенном слое и на растительных остатках;</w:t>
      </w:r>
    </w:p>
    <w:p w:rsidR="00000000" w:rsidDel="00000000" w:rsidP="00000000" w:rsidRDefault="00000000" w:rsidRPr="00000000" w14:paraId="0000005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Копрофильные – встречаются на выветренном помёте растительноядных млекопитающих и птиц;</w:t>
      </w:r>
    </w:p>
    <w:p w:rsidR="00000000" w:rsidDel="00000000" w:rsidP="00000000" w:rsidRDefault="00000000" w:rsidRPr="00000000" w14:paraId="0000006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Бриофильные – встречаются на мхах;</w:t>
      </w:r>
    </w:p>
    <w:p w:rsidR="00000000" w:rsidDel="00000000" w:rsidP="00000000" w:rsidRDefault="00000000" w:rsidRPr="00000000" w14:paraId="0000006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Нивальные - встречаются на растительных остатках вблизи тающего снега.</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Один и тот же вид миксомицетов может встречаться на разных типах субстрата и может быть отнесен к разным эколого-трофическим группам [1].</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202122"/>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История изучения миксомицетов начинается еще с XVII века. Томас Панковиус упоминал вид </w:t>
      </w:r>
      <w:r w:rsidDel="00000000" w:rsidR="00000000" w:rsidRPr="00000000">
        <w:rPr>
          <w:rFonts w:ascii="Times New Roman" w:cs="Times New Roman" w:eastAsia="Times New Roman" w:hAnsi="Times New Roman"/>
          <w:b w:val="0"/>
          <w:i w:val="0"/>
          <w:smallCaps w:val="0"/>
          <w:strike w:val="0"/>
          <w:color w:val="202122"/>
          <w:sz w:val="28"/>
          <w:szCs w:val="28"/>
          <w:highlight w:val="white"/>
          <w:u w:val="none"/>
          <w:vertAlign w:val="baseline"/>
          <w:rtl w:val="0"/>
        </w:rPr>
        <w:t xml:space="preserve">Lycogala epidendrum как “быстрорастущий гриб” в своей работе</w:t>
      </w:r>
      <w:r w:rsidDel="00000000" w:rsidR="00000000" w:rsidRPr="00000000">
        <w:rPr>
          <w:rFonts w:ascii="Arial" w:cs="Arial" w:eastAsia="Arial" w:hAnsi="Arial"/>
          <w:b w:val="0"/>
          <w:i w:val="0"/>
          <w:smallCaps w:val="0"/>
          <w:strike w:val="0"/>
          <w:color w:val="202122"/>
          <w:sz w:val="21"/>
          <w:szCs w:val="21"/>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02122"/>
          <w:sz w:val="28"/>
          <w:szCs w:val="28"/>
          <w:highlight w:val="white"/>
          <w:u w:val="none"/>
          <w:vertAlign w:val="baseline"/>
          <w:rtl w:val="0"/>
        </w:rPr>
        <w:t xml:space="preserve">«Herbarium Portatile, oder behendes Kräuter- und Gewächsbuch». Название “миксомицеты” ввёл в 1833 году Джон Генрих Фридрих Линк [7].</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202122"/>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02122"/>
          <w:sz w:val="28"/>
          <w:szCs w:val="28"/>
          <w:highlight w:val="white"/>
          <w:u w:val="none"/>
          <w:vertAlign w:val="baseline"/>
          <w:rtl w:val="0"/>
        </w:rPr>
        <w:t xml:space="preserve">Первые данные о миксомицетах на территории России появились в конце XVIII века [6]. Частые упоминания миксомицетов можно встретить в работах XIX века. </w:t>
      </w:r>
      <w:r w:rsidDel="00000000" w:rsidR="00000000" w:rsidRPr="00000000">
        <w:rPr>
          <w:rFonts w:ascii="Times New Roman" w:cs="Times New Roman" w:eastAsia="Times New Roman" w:hAnsi="Times New Roman"/>
          <w:b w:val="0"/>
          <w:i w:val="0"/>
          <w:smallCaps w:val="0"/>
          <w:strike w:val="0"/>
          <w:color w:val="202122"/>
          <w:sz w:val="29"/>
          <w:szCs w:val="29"/>
          <w:highlight w:val="white"/>
          <w:u w:val="none"/>
          <w:vertAlign w:val="baseline"/>
          <w:rtl w:val="0"/>
        </w:rPr>
        <w:t xml:space="preserve">С конца XIX и до начала 3 четверти XX века регулярное изучение видового разнообразия миксомицетов почти не проводилось. Наиболее полные списки видов были созданы для Томской области и республики Алтай [2]. Внимание российских исследователей к миксомицетам увеличилось с выходом в 1993 году 1 тома </w:t>
      </w:r>
      <w:r w:rsidDel="00000000" w:rsidR="00000000" w:rsidRPr="00000000">
        <w:rPr>
          <w:rFonts w:ascii="Times New Roman" w:cs="Times New Roman" w:eastAsia="Times New Roman" w:hAnsi="Times New Roman"/>
          <w:b w:val="0"/>
          <w:i w:val="0"/>
          <w:smallCaps w:val="0"/>
          <w:strike w:val="0"/>
          <w:color w:val="202122"/>
          <w:sz w:val="28"/>
          <w:szCs w:val="28"/>
          <w:highlight w:val="white"/>
          <w:u w:val="none"/>
          <w:vertAlign w:val="baseline"/>
          <w:rtl w:val="0"/>
        </w:rPr>
        <w:t xml:space="preserve">«Определителя грибов России», который посвящен миксогастеромицетам [7].</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202122"/>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02122"/>
          <w:sz w:val="28"/>
          <w:szCs w:val="28"/>
          <w:highlight w:val="white"/>
          <w:u w:val="none"/>
          <w:vertAlign w:val="baseline"/>
          <w:rtl w:val="0"/>
        </w:rPr>
        <w:t xml:space="preserve">В настоящее время миксомицеты представляют большой интерес для ученых, так как являются малоизученной группой организмов.</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202122"/>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02122"/>
          <w:sz w:val="28"/>
          <w:szCs w:val="28"/>
          <w:highlight w:val="white"/>
          <w:u w:val="none"/>
          <w:vertAlign w:val="baseline"/>
          <w:rtl w:val="0"/>
        </w:rPr>
        <w:t xml:space="preserve">В ходе изучения литературы по теме было установлено, что изучение миксомицетов Кайбицкого района никогда не проводилось. Были найдены работы, в которых описывались миксомицеты разных участков Казани и некоторых районов Татарстана [9, 10, 1</w:t>
      </w:r>
      <w:r w:rsidDel="00000000" w:rsidR="00000000" w:rsidRPr="00000000">
        <w:rPr>
          <w:rFonts w:ascii="Times New Roman" w:cs="Times New Roman" w:eastAsia="Times New Roman" w:hAnsi="Times New Roman"/>
          <w:color w:val="202122"/>
          <w:sz w:val="28"/>
          <w:szCs w:val="28"/>
          <w:highlight w:val="white"/>
          <w:rtl w:val="0"/>
        </w:rPr>
        <w:t xml:space="preserve">8</w:t>
      </w:r>
      <w:r w:rsidDel="00000000" w:rsidR="00000000" w:rsidRPr="00000000">
        <w:rPr>
          <w:rFonts w:ascii="Times New Roman" w:cs="Times New Roman" w:eastAsia="Times New Roman" w:hAnsi="Times New Roman"/>
          <w:b w:val="0"/>
          <w:i w:val="0"/>
          <w:smallCaps w:val="0"/>
          <w:strike w:val="0"/>
          <w:color w:val="202122"/>
          <w:sz w:val="28"/>
          <w:szCs w:val="28"/>
          <w:highlight w:val="white"/>
          <w:u w:val="none"/>
          <w:vertAlign w:val="baseline"/>
          <w:rtl w:val="0"/>
        </w:rPr>
        <w:t xml:space="preserve">].</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2.2.Дубравы </w:t>
      </w:r>
      <w:r w:rsidDel="00000000" w:rsidR="00000000" w:rsidRPr="00000000">
        <w:rPr>
          <w:rFonts w:ascii="Times New Roman" w:cs="Times New Roman" w:eastAsia="Times New Roman" w:hAnsi="Times New Roman"/>
          <w:b w:val="1"/>
          <w:sz w:val="28"/>
          <w:szCs w:val="28"/>
          <w:rtl w:val="0"/>
        </w:rPr>
        <w:t xml:space="preserve">и леса с участием дуба</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Татарстана</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Леса занимают в настоящее время примерно 17% всей территории РТ и являются остатками огромных лесных массивов. Современные леса Татарстана относятся к двум формациям - хвойным и лиственным лесам. Между ними имеются переходные типы смешанных лесов, которые в настоящее время значительно преобладают. Хвойные леса Татарстана расположены, в основном, в Предкамье. Южнее хвойных лесов располагаются лиственные, основной формацией в которых являются дубовые леса. Они встречаются во всех районах Татарстана, постепенно уменьшаясь к востоку.</w:t>
      </w:r>
    </w:p>
    <w:p w:rsidR="00000000" w:rsidDel="00000000" w:rsidP="00000000" w:rsidRDefault="00000000" w:rsidRPr="00000000" w14:paraId="0000006E">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Предволжье, особенно его юго-западная часть, имеет малое количество лесов. Более крупные массивы расположены в Кайбицком и Больше-Тарханском районах. В последнем большой лесной массив занимает весь угол, образованный громадным изгибом Волги. Леса преимущественно лиственные, с преобладанием дуба.Также присутствуют клен, липа и береза.</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Название «дубрава» или «дубняк» связывается с лесом, в котором преобладает черешчатый дуб. Дубовые леса образуют особую растительную формацию, которая вместе с формациями липовых, кленовых и ильмовых лесов объединяется под общим названием - «широколиственные леса», характеризуясь большей теневыносливостью, чем мелколиственные леса. Дубовые леса широкой полосой тянутся от Волыни через Киев и Чернигов на Брянск, Орел, Калугу, Тулу, Рязань к Горькому и Казани, отделяя лесную зону от зоны степей.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мере движения на восток меняется характер дубравы в связи с возрастающей ролью липы в сложении древесных ярусов. В Татарстане типичные дубравы можно встретить только в предволжской ее части, лежащей к западу от Волги. К востоку от Волги значительно чаще встречаются дубово-липовые леса.</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Среди травянистых растений, встречающихся в дубовых лесах, много очень древних видов. К ним относят: копытень, овсяница лесная, костер развесистый, петров крест и многие другие.</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территории Татарстана дубравы находятся близ восточной границы своего распространения, что сказывается на их составе и строении. За Свияжском, на высоком правом берегу Волги, находится одна из нагорных дубрав. Под именем «нагорных дубрав» в ботаническую литературу вошли дубравы, которые встречаются к западу от реки Волги на ее правом нагорном берегу. В пределах Татарстана площадь, занятая ими, невелика. Тюрлеминская дубрава является прекрасным представителем нагорных дубрав. Она располагается на высоком водоразделе к востоку от ст. Тюрлема и заходит на территорию Татарстана лишь юго-восточной своей частью.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 пологом деревьев виден разреженный ярус подлеска и хорошо развитый травяной покров. Ярус подлеска образован кустарниками. В нем можно встретить лещину, бересклет, жимолость, крушину ломкую; редко встречается калина, шиповник</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Большинство деревьев и кустарников цветет обычно в весенний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период жизни лиственного леса. Это орешник, ива, осина, береза, дуб, ильм, вяз, жимолость, яблоня, несколько позднее цветут бересклет и клен. Как видно, свет необходим для нормального цветения лесных растений, и недостаток света в лесу летом сильно ограничивает число цветущих видов.</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Летом под пологом деревьев и кустарников развивается травяной покров, состоящий из тенелюбивых видов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причем большинство находится в вегетатирующем состоянии.</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Кроме зеленых травянистых растений, в травяном ярусе дубового леса можно встретить растения, лишенные зеленой окраски, питающиеся гетеротрофно. К числу таких растений в нагорных дубравах относятся петров крест и гнездовка.</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Рассмотрим Закамье Татарстана. Дубовый лес возле селения Ст. Ибрайкино располагается на южной покатости водораздела рек Малой Сульчи, Малого Черемшана и Шешмы. Древесные ярусы насаждения достигают 22-24 м, причем липа количественно преобладает. Здесь дуб не является единственной доминантой дубравы. Виден липово-дубовый лес, сменяющий типичную дубраву по мере движения с запада на восток. Это идет рука об руку с более слабым развитием дуба: по высоте дубовые деревья в восточных районах Татарстане значительно меньше, чем одновозрастные деревья из западных районов. Несомненно, что по мере движения на восток, дуб переносит климатические изменения тяжелее, чем липа. Отсюда и усиление роли последней в сложении древесных ярусов широколиственного леса</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Подлесок в дубравах Закамья развит значительно лучше, причем в его состав входят иногда некоторые степные кустарники. Травяной покров здесь никогда не бывает развит так хорошо, как в нагорных дубравах Предволжья: значительная часть поверхности почвы остается незакрытой растениями травянистого яруса, и только мощный листовой отпад деревьев и кустарников покрывает ее сплошным слоем. Непосредственно под кустарниками травянистые растения встречаются особенно редко. Число видов, входящих в состав травянистого яруса дубрав Закамья, несколько выше, чем в Предволжье [8, 1</w:t>
      </w:r>
      <w:r w:rsidDel="00000000" w:rsidR="00000000" w:rsidRPr="00000000">
        <w:rPr>
          <w:rFonts w:ascii="Times New Roman" w:cs="Times New Roman" w:eastAsia="Times New Roman" w:hAnsi="Times New Roman"/>
          <w:sz w:val="28"/>
          <w:szCs w:val="28"/>
          <w:rtl w:val="0"/>
        </w:rPr>
        <w:t xml:space="preserve">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A">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ГЛАВА II. ПРАКТИЧЕСКАЯ ЧАСТЬ</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Отбор проб</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Сбор материала (кора дуба) проводился на 5 пробных площадях: в 2023 году – в Приволжском районе города  Казань в лесном массиве «Экопарк «Дубрава», в 2022 году – в дубраве на склоне южной экспозиции возле железнодорожной станции «Новое Аракчино» (г. Казань, Кировский район), а также в лесных массивах Кайбицкого района Республики Татарстан (памятник природы «Кайбицкие дубравы», осветленная разреженная дубрава в окрестностях с. Каргалы (N°55.32078; E°48.010073), остепнённая дубрава на склоне южной экспозиции в окрестностях с. Турминское (N°55.362905; E°47.886845)). Данные сообщества различаются породным составом древостоя, растительным покровом, почвенным условиями, ландшафтом территории, на которой они располагаются, зональными особенностями и гидрологическим режимом. Подробнее об этом будет указано в разделе обсуждения результатов. Местоположения отбора проб указаны на рисунке 1.</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14300" distT="114300" distL="114300" distR="114300">
            <wp:extent cx="5124450" cy="2809313"/>
            <wp:effectExtent b="0" l="0" r="0" t="0"/>
            <wp:docPr id="2" name="image3.png"/>
            <a:graphic>
              <a:graphicData uri="http://schemas.openxmlformats.org/drawingml/2006/picture">
                <pic:pic>
                  <pic:nvPicPr>
                    <pic:cNvPr id="0" name="image3.png"/>
                    <pic:cNvPicPr preferRelativeResize="0"/>
                  </pic:nvPicPr>
                  <pic:blipFill>
                    <a:blip r:embed="rId6"/>
                    <a:srcRect b="3748" l="14892" r="10812" t="16177"/>
                    <a:stretch>
                      <a:fillRect/>
                    </a:stretch>
                  </pic:blipFill>
                  <pic:spPr>
                    <a:xfrm>
                      <a:off x="0" y="0"/>
                      <a:ext cx="5124450" cy="2809313"/>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1. Местоположения отбора проб коры дуба для дальнейшей культивации миксомицетов.</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Новом Аракчино сбор коры проводился с двух высот (комля и 1.5 метра), на остальных площадках сбор проводился произвольно. </w:t>
      </w:r>
    </w:p>
    <w:p w:rsidR="00000000" w:rsidDel="00000000" w:rsidP="00000000" w:rsidRDefault="00000000" w:rsidRPr="00000000" w14:paraId="000000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Материалы и методы</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Культивирование миксомицетов проводилось с помощью метода влажных камер. Впервые метод был использован в Шотландии Краном в 1917 г., а в России впервые был использован Ю. К. Новожиловым в 2000 г. [4]. Сам метод заключается в получении из субстрата спороношений миксомицетов в покоящихся стадиях в лабораторных условиях. После сбора субстрат собирают в бумажные пакеты, высушивают, измельчают на мелкие кусочки и помещают во “влажные камеры”. Срок культивирования миксомицетов на субстрате – от 10 дней до полугода и дольше.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Сбор субстрата проводился 24 августа 2022 г. (Кайбицкий р-н), 1 октября 2022 г. (окр. Нового Аракчино) и 6 ноября 2023 (лес на Дубравной) (рис. 2). После сбора материал был измельчен на небольшие кусочки с помощью скальпеля, уложен в чашки Петри на 2 слоя фильтровальной бумаги и хорошо увлажнен (рис.3). Фильтровальная бумага позволяет равномерно распределять влагу и отдавать ее по мере подсыхания субстрата. Каждую неделю проводилось увлажнение материала и осмотр с помощью бинокуляра (стереомикроскопа) для выявления спороношений. Обнаруженные виды миксомицетов определялись с использованием микроскопа Биомед-5 (X400), после чего записаны в контрольные листы (табл. 1). Была составлена таксономическая структура г. Казани и Кайбицкого р-на Республики Татарстан (приложение 1).</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19050" distT="19050" distL="19050" distR="19050">
            <wp:extent cx="3679868" cy="2505918"/>
            <wp:effectExtent b="0" l="0" r="0" t="0"/>
            <wp:docPr id="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679868" cy="2505918"/>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2. Отбор проб в окр. Нового Аракчино</w:t>
      </w:r>
    </w:p>
    <w:p w:rsidR="00000000" w:rsidDel="00000000" w:rsidP="00000000" w:rsidRDefault="00000000" w:rsidRPr="00000000" w14:paraId="00000088">
      <w:pPr>
        <w:pStyle w:val="Heading1"/>
        <w:spacing w:after="0" w:before="0" w:line="360" w:lineRule="auto"/>
        <w:ind w:firstLine="708"/>
        <w:jc w:val="both"/>
        <w:rPr>
          <w:rFonts w:ascii="Times New Roman" w:cs="Times New Roman" w:eastAsia="Times New Roman" w:hAnsi="Times New Roman"/>
          <w:b w:val="0"/>
          <w:sz w:val="28"/>
          <w:szCs w:val="28"/>
        </w:rPr>
      </w:pPr>
      <w:bookmarkStart w:colFirst="0" w:colLast="0" w:name="_gjdgxs" w:id="0"/>
      <w:bookmarkEnd w:id="0"/>
      <w:r w:rsidDel="00000000" w:rsidR="00000000" w:rsidRPr="00000000">
        <w:rPr>
          <w:rFonts w:ascii="Times New Roman" w:cs="Times New Roman" w:eastAsia="Times New Roman" w:hAnsi="Times New Roman"/>
          <w:b w:val="0"/>
          <w:sz w:val="28"/>
          <w:szCs w:val="28"/>
          <w:rtl w:val="0"/>
        </w:rPr>
        <w:t xml:space="preserve">При определении обнаруженных видов был использован определитель миксомицетов Московского региона авторства В. И. Гмошинского, Е. А. Дунаева и Н. И. Киреевой, так как Московская область и Республика Татарстан находятся в природной зоне смешанных лесов [1]. Также, был использован ряд отечественных и зарубежных определителей миксомицетов [7]. Автор работы выражает благодарность за помощь в определении Садыкову Руслану Эдуардовичу (кафедра общей экологии КФУ).</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Для сравнения пробных площадей между собой был рассчитан коэффициент Серенсена-Чекановского, показывающий степень сходства сообществ по населяемым миксомицетам. </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810146" cy="1968820"/>
            <wp:effectExtent b="0" l="0" r="0" t="0"/>
            <wp:docPr id="3" name="image5.png"/>
            <a:graphic>
              <a:graphicData uri="http://schemas.openxmlformats.org/drawingml/2006/picture">
                <pic:pic>
                  <pic:nvPicPr>
                    <pic:cNvPr id="0" name="image5.png"/>
                    <pic:cNvPicPr preferRelativeResize="0"/>
                  </pic:nvPicPr>
                  <pic:blipFill>
                    <a:blip r:embed="rId8"/>
                    <a:srcRect b="0" l="12345" r="20679" t="0"/>
                    <a:stretch>
                      <a:fillRect/>
                    </a:stretch>
                  </pic:blipFill>
                  <pic:spPr>
                    <a:xfrm>
                      <a:off x="0" y="0"/>
                      <a:ext cx="2810146" cy="196882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3. Влажные камеры.</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ГЛАВА III. РЕЗУЛЬТАТЫ И ОБСУЖДЕНИЯ</w:t>
      </w:r>
    </w:p>
    <w:p w:rsidR="00000000" w:rsidDel="00000000" w:rsidP="00000000" w:rsidRDefault="00000000" w:rsidRPr="00000000" w14:paraId="0000008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Результаты и обсуждения</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Результаты, представленные в таблице 1, отражают видовое разнообразие 4 пробных площадей. Всего выявлено </w:t>
      </w:r>
      <w:r w:rsidDel="00000000" w:rsidR="00000000" w:rsidRPr="00000000">
        <w:rPr>
          <w:rFonts w:ascii="Times New Roman" w:cs="Times New Roman" w:eastAsia="Times New Roman" w:hAnsi="Times New Roman"/>
          <w:sz w:val="28"/>
          <w:szCs w:val="28"/>
          <w:rtl w:val="0"/>
        </w:rPr>
        <w:t xml:space="preserve">21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вид из 5 порядков (Liceales, Trichiales, Physarales Stemonitidales, Echinosteliales), </w:t>
      </w:r>
      <w:r w:rsidDel="00000000" w:rsidR="00000000" w:rsidRPr="00000000">
        <w:rPr>
          <w:rFonts w:ascii="Times New Roman" w:cs="Times New Roman" w:eastAsia="Times New Roman" w:hAnsi="Times New Roman"/>
          <w:sz w:val="28"/>
          <w:szCs w:val="28"/>
          <w:rtl w:val="0"/>
        </w:rPr>
        <w:t xml:space="preserve">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семейств (Trichiaceae, Dianemataceae, Liceaceae, Echinosteliaceae, Stemonitidaceae, Physaraceae) и </w:t>
      </w:r>
      <w:r w:rsidDel="00000000" w:rsidR="00000000" w:rsidRPr="00000000">
        <w:rPr>
          <w:rFonts w:ascii="Times New Roman" w:cs="Times New Roman" w:eastAsia="Times New Roman" w:hAnsi="Times New Roman"/>
          <w:sz w:val="28"/>
          <w:szCs w:val="28"/>
          <w:rtl w:val="0"/>
        </w:rPr>
        <w:t xml:space="preserve">11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родов (Arcyria, </w:t>
      </w:r>
      <w:r w:rsidDel="00000000" w:rsidR="00000000" w:rsidRPr="00000000">
        <w:rPr>
          <w:rFonts w:ascii="Times New Roman" w:cs="Times New Roman" w:eastAsia="Times New Roman" w:hAnsi="Times New Roman"/>
          <w:sz w:val="28"/>
          <w:szCs w:val="28"/>
          <w:rtl w:val="0"/>
        </w:rPr>
        <w:t xml:space="preserve">Badhamia, Calomyxa, Cribraria, Dianema, Echinostelium</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Licea, Paradiacheopsis,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Perichaena, Physarum, Trichia) (Приложение 1). Самое большое биоразнообразие миксомицетов было отмечено на площади “Осветленная дубрава” в окр. с. Каргалы (12 видов) (Приложение 2). Наименьшее биоразнообразие миксомицетов было отмечено на площадке ПП “Кайбицкие дубравы” (8 видов). В окрестности Нового Аракчино на комле дубов было найдено 6 видов миксомицетов, на высоте 1.5 метра было найдено 4 вида миксомицетов. При это в комлевой части обнаружены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Licea parasitica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Perichaena vermicularis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которые уже не встречаются на высоте 1,5 метров. Вероятно, эти виды не являются специфичными для дубовой коры и вполне могли попасть на комлевую часть с подстилки.</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наиболее распространенным видам, встреченным на всех пробных площадях, можно отнести: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Licea operculata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Arcyria cinerea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Echinostelium minutum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если два последних вида являются фоновыми для территории Татарстана, то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Licea operculata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впервые обнаружена для территории республики, вероятно указывая на специфичность субстрата и подтверждая необходимость исследований подобного рода.</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Анализируя число спороношений (частоту встречаемости) видов во влажных камерах (Приложение 3), стоит отметить, что наибольшее количество спороношений отмечено у видов </w:t>
      </w:r>
      <w:r w:rsidDel="00000000" w:rsidR="00000000" w:rsidRPr="00000000">
        <w:rPr>
          <w:rFonts w:ascii="Times New Roman" w:cs="Times New Roman" w:eastAsia="Times New Roman" w:hAnsi="Times New Roman"/>
          <w:i w:val="1"/>
          <w:sz w:val="28"/>
          <w:szCs w:val="28"/>
          <w:highlight w:val="white"/>
          <w:rtl w:val="0"/>
        </w:rPr>
        <w:t xml:space="preserve">Arcyria cinerea</w:t>
      </w:r>
      <w:r w:rsidDel="00000000" w:rsidR="00000000" w:rsidRPr="00000000">
        <w:rPr>
          <w:rFonts w:ascii="Times New Roman" w:cs="Times New Roman" w:eastAsia="Times New Roman" w:hAnsi="Times New Roman"/>
          <w:sz w:val="28"/>
          <w:szCs w:val="28"/>
          <w:highlight w:val="white"/>
          <w:rtl w:val="0"/>
        </w:rPr>
        <w:t xml:space="preserve"> (42),</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Licea operculata</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sz w:val="28"/>
          <w:szCs w:val="28"/>
          <w:highlight w:val="white"/>
          <w:rtl w:val="0"/>
        </w:rPr>
        <w:t xml:space="preserve">40</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Licea parasitica</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(2</w:t>
      </w:r>
      <w:r w:rsidDel="00000000" w:rsidR="00000000" w:rsidRPr="00000000">
        <w:rPr>
          <w:rFonts w:ascii="Times New Roman" w:cs="Times New Roman" w:eastAsia="Times New Roman" w:hAnsi="Times New Roman"/>
          <w:sz w:val="28"/>
          <w:szCs w:val="28"/>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Наименьшее количество спороношений отмечено у видов </w:t>
      </w:r>
      <w:r w:rsidDel="00000000" w:rsidR="00000000" w:rsidRPr="00000000">
        <w:rPr>
          <w:rFonts w:ascii="Times New Roman" w:cs="Times New Roman" w:eastAsia="Times New Roman" w:hAnsi="Times New Roman"/>
          <w:i w:val="1"/>
          <w:sz w:val="28"/>
          <w:szCs w:val="28"/>
          <w:highlight w:val="white"/>
          <w:rtl w:val="0"/>
        </w:rPr>
        <w:t xml:space="preserve">Badhamia capsulifera</w:t>
      </w:r>
      <w:r w:rsidDel="00000000" w:rsidR="00000000" w:rsidRPr="00000000">
        <w:rPr>
          <w:rFonts w:ascii="Times New Roman" w:cs="Times New Roman" w:eastAsia="Times New Roman" w:hAnsi="Times New Roman"/>
          <w:sz w:val="28"/>
          <w:szCs w:val="28"/>
          <w:highlight w:val="white"/>
          <w:rtl w:val="0"/>
        </w:rPr>
        <w:t xml:space="preserve"> (1), </w:t>
      </w:r>
      <w:r w:rsidDel="00000000" w:rsidR="00000000" w:rsidRPr="00000000">
        <w:rPr>
          <w:rFonts w:ascii="Times New Roman" w:cs="Times New Roman" w:eastAsia="Times New Roman" w:hAnsi="Times New Roman"/>
          <w:i w:val="1"/>
          <w:sz w:val="28"/>
          <w:szCs w:val="28"/>
          <w:highlight w:val="white"/>
          <w:rtl w:val="0"/>
        </w:rPr>
        <w:t xml:space="preserve">Physarum album</w:t>
      </w:r>
      <w:r w:rsidDel="00000000" w:rsidR="00000000" w:rsidRPr="00000000">
        <w:rPr>
          <w:rFonts w:ascii="Times New Roman" w:cs="Times New Roman" w:eastAsia="Times New Roman" w:hAnsi="Times New Roman"/>
          <w:sz w:val="28"/>
          <w:szCs w:val="28"/>
          <w:highlight w:val="white"/>
          <w:rtl w:val="0"/>
        </w:rPr>
        <w:t xml:space="preserve"> (2), </w:t>
      </w:r>
      <w:r w:rsidDel="00000000" w:rsidR="00000000" w:rsidRPr="00000000">
        <w:rPr>
          <w:rFonts w:ascii="Times New Roman" w:cs="Times New Roman" w:eastAsia="Times New Roman" w:hAnsi="Times New Roman"/>
          <w:i w:val="1"/>
          <w:sz w:val="28"/>
          <w:szCs w:val="28"/>
          <w:highlight w:val="white"/>
          <w:rtl w:val="0"/>
        </w:rPr>
        <w:t xml:space="preserve">Licea variabilis</w:t>
      </w:r>
      <w:r w:rsidDel="00000000" w:rsidR="00000000" w:rsidRPr="00000000">
        <w:rPr>
          <w:rFonts w:ascii="Times New Roman" w:cs="Times New Roman" w:eastAsia="Times New Roman" w:hAnsi="Times New Roman"/>
          <w:sz w:val="28"/>
          <w:szCs w:val="28"/>
          <w:highlight w:val="white"/>
          <w:rtl w:val="0"/>
        </w:rPr>
        <w:t xml:space="preserve"> (2) и </w:t>
      </w:r>
      <w:r w:rsidDel="00000000" w:rsidR="00000000" w:rsidRPr="00000000">
        <w:rPr>
          <w:rFonts w:ascii="Times New Roman" w:cs="Times New Roman" w:eastAsia="Times New Roman" w:hAnsi="Times New Roman"/>
          <w:i w:val="1"/>
          <w:sz w:val="28"/>
          <w:szCs w:val="28"/>
          <w:highlight w:val="white"/>
          <w:rtl w:val="0"/>
        </w:rPr>
        <w:t xml:space="preserve">Licea pussila</w:t>
      </w:r>
      <w:r w:rsidDel="00000000" w:rsidR="00000000" w:rsidRPr="00000000">
        <w:rPr>
          <w:rFonts w:ascii="Times New Roman" w:cs="Times New Roman" w:eastAsia="Times New Roman" w:hAnsi="Times New Roman"/>
          <w:sz w:val="28"/>
          <w:szCs w:val="28"/>
          <w:highlight w:val="white"/>
          <w:rtl w:val="0"/>
        </w:rPr>
        <w:t xml:space="preserve"> (3)</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связи с тем, что для развития плазмодия для разных видов требуется разное время, сроки плодоношения миксомицетов на практике не совпадают. Так, в </w:t>
      </w:r>
      <w:r w:rsidDel="00000000" w:rsidR="00000000" w:rsidRPr="00000000">
        <w:rPr>
          <w:rFonts w:ascii="Times New Roman" w:cs="Times New Roman" w:eastAsia="Times New Roman" w:hAnsi="Times New Roman"/>
          <w:sz w:val="28"/>
          <w:szCs w:val="28"/>
          <w:rtl w:val="0"/>
        </w:rPr>
        <w:t xml:space="preserve">начале эксперименте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самое большое видовое разнообразие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было отмечено в 10-ый день (11 видов) и 40-ой день (3 вида). Результаты, представленные на рисунке 1, показывают число новых видов миксомицетов, обнаруженных в разные дни эксперимента. Таким образом, к 100-ому дню эксперимента отмечен лишь один новый вид, однако данный эксперимент продолжается. В продолжении эксперимента </w:t>
      </w:r>
      <w:r w:rsidDel="00000000" w:rsidR="00000000" w:rsidRPr="00000000">
        <w:rPr>
          <w:rFonts w:ascii="Times New Roman" w:cs="Times New Roman" w:eastAsia="Times New Roman" w:hAnsi="Times New Roman"/>
          <w:sz w:val="28"/>
          <w:szCs w:val="28"/>
          <w:rtl w:val="0"/>
        </w:rPr>
        <w:t xml:space="preserve">наибольшее количество новых видов было обнаружено в 7-ой день и 17-ый день.</w:t>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4095528" cy="2171700"/>
            <wp:effectExtent b="0" l="0" r="0" t="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095528"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Рисунок 4. Число новых видов миксомицетов во влажных камерах, обнаруженных в ходе эксперимента.</w:t>
      </w:r>
    </w:p>
    <w:p w:rsidR="00000000" w:rsidDel="00000000" w:rsidP="00000000" w:rsidRDefault="00000000" w:rsidRPr="00000000" w14:paraId="00000093">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4">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4102255" cy="2028825"/>
            <wp:effectExtent b="0" l="0" r="0" t="0"/>
            <wp:docPr id="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102255" cy="2028825"/>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0"/>
          <w:szCs w:val="20"/>
          <w:rtl w:val="0"/>
        </w:rPr>
        <w:t xml:space="preserve">Рисунок 5. Число новых видов миксомицетов во влажных камерах, обнаруженных в ходе продолжения эксперимента.</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сравнения пробных площадей был рассчитан </w:t>
      </w:r>
      <w:r w:rsidDel="00000000" w:rsidR="00000000" w:rsidRPr="00000000">
        <w:rPr>
          <w:rFonts w:ascii="Times New Roman" w:cs="Times New Roman" w:eastAsia="Times New Roman" w:hAnsi="Times New Roman"/>
          <w:sz w:val="28"/>
          <w:szCs w:val="28"/>
          <w:rtl w:val="0"/>
        </w:rPr>
        <w:t xml:space="preserve">индекс разнообразия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Симпсона и</w:t>
      </w:r>
      <w:r w:rsidDel="00000000" w:rsidR="00000000" w:rsidRPr="00000000">
        <w:rPr>
          <w:rFonts w:ascii="Times New Roman" w:cs="Times New Roman" w:eastAsia="Times New Roman" w:hAnsi="Times New Roman"/>
          <w:sz w:val="28"/>
          <w:szCs w:val="28"/>
          <w:rtl w:val="0"/>
        </w:rPr>
        <w:t xml:space="preserve"> индекс разнообразия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w:t>
      </w:r>
      <w:r w:rsidDel="00000000" w:rsidR="00000000" w:rsidRPr="00000000">
        <w:rPr>
          <w:rFonts w:ascii="Times New Roman" w:cs="Times New Roman" w:eastAsia="Times New Roman" w:hAnsi="Times New Roman"/>
          <w:sz w:val="28"/>
          <w:szCs w:val="28"/>
          <w:rtl w:val="0"/>
        </w:rPr>
        <w:t xml:space="preserve">еннона [16] (табл. 2). Для всех биотопов был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попарно рассчитан коэффициент Серенсена-Чекановского (табл. </w:t>
      </w: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Наименьший индекс разнообразия Симпсона отмечен на площадке “Осветленная дубрава в окр. села Каргалы”. Наибольший индекс разнообразия Шеннона также отмечен на площадке “Осветленная дубрава в окр. села Каргалы”, следовательно, на этой площадке отмечено наибольшее разнообразие видов. Это может быть связано со спецификой условий данной площадки - большое количество света и влаги.</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Наибольший коэффициент сходства наблюдается между парой «</w:t>
      </w:r>
      <w:r w:rsidDel="00000000" w:rsidR="00000000" w:rsidRPr="00000000">
        <w:rPr>
          <w:rFonts w:ascii="Times New Roman" w:cs="Times New Roman" w:eastAsia="Times New Roman" w:hAnsi="Times New Roman"/>
          <w:sz w:val="28"/>
          <w:szCs w:val="28"/>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степненная дубрава у с. Турминское» и «</w:t>
      </w:r>
      <w:r w:rsidDel="00000000" w:rsidR="00000000" w:rsidRPr="00000000">
        <w:rPr>
          <w:rFonts w:ascii="Times New Roman" w:cs="Times New Roman" w:eastAsia="Times New Roman" w:hAnsi="Times New Roman"/>
          <w:sz w:val="28"/>
          <w:szCs w:val="28"/>
          <w:rtl w:val="0"/>
        </w:rPr>
        <w:t xml:space="preserve">ПП “Кайбицкие дубравы”</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w:t>
      </w: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Оба типа сообщества расположены на склоновых участках южной экспозиции. Кроме того, в обоих случаях основной и единственной породой является дуб черешчатый. Вероятно, схожие, в первую очередь, абиотические условия обитания определили сходство видового состава миксомицетов этих двух сообществ. </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Наименьший коэффициент сходства наблюдается в паре </w:t>
      </w:r>
      <w:r w:rsidDel="00000000" w:rsidR="00000000" w:rsidRPr="00000000">
        <w:rPr>
          <w:rFonts w:ascii="Times New Roman" w:cs="Times New Roman" w:eastAsia="Times New Roman" w:hAnsi="Times New Roman"/>
          <w:sz w:val="28"/>
          <w:szCs w:val="28"/>
          <w:rtl w:val="0"/>
        </w:rPr>
        <w:t xml:space="preserve">«Остепненная дубрава у с. Турминское»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w:t>
      </w:r>
      <w:r w:rsidDel="00000000" w:rsidR="00000000" w:rsidRPr="00000000">
        <w:rPr>
          <w:rFonts w:ascii="Times New Roman" w:cs="Times New Roman" w:eastAsia="Times New Roman" w:hAnsi="Times New Roman"/>
          <w:sz w:val="28"/>
          <w:szCs w:val="28"/>
          <w:rtl w:val="0"/>
        </w:rPr>
        <w:t xml:space="preserve">Лес на Дубравной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что также можно объяснить спецификой условий обитания. Так, ос</w:t>
      </w:r>
      <w:r w:rsidDel="00000000" w:rsidR="00000000" w:rsidRPr="00000000">
        <w:rPr>
          <w:rFonts w:ascii="Times New Roman" w:cs="Times New Roman" w:eastAsia="Times New Roman" w:hAnsi="Times New Roman"/>
          <w:sz w:val="28"/>
          <w:szCs w:val="28"/>
          <w:rtl w:val="0"/>
        </w:rPr>
        <w:t xml:space="preserve">тепненная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дубрава представляет собой массив из дубов, располагающихся на открытом пространстве </w:t>
      </w:r>
      <w:r w:rsidDel="00000000" w:rsidR="00000000" w:rsidRPr="00000000">
        <w:rPr>
          <w:rFonts w:ascii="Times New Roman" w:cs="Times New Roman" w:eastAsia="Times New Roman" w:hAnsi="Times New Roman"/>
          <w:sz w:val="28"/>
          <w:szCs w:val="28"/>
          <w:rtl w:val="0"/>
        </w:rPr>
        <w:t xml:space="preserve">вблизи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небольшого водоема, тогда как лесной массив на Дубравной в действительности лишь частично сложен дубами, которые в месте отбора проб не являются доминирующей породой. В древостое этого лесного массива принимают участие липа и клен, что также могло сказаться на специфик</w:t>
      </w:r>
      <w:r w:rsidDel="00000000" w:rsidR="00000000" w:rsidRPr="00000000">
        <w:rPr>
          <w:rFonts w:ascii="Times New Roman" w:cs="Times New Roman" w:eastAsia="Times New Roman" w:hAnsi="Times New Roman"/>
          <w:sz w:val="28"/>
          <w:szCs w:val="28"/>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видового разнообразия.</w:t>
      </w:r>
    </w:p>
    <w:p w:rsidR="00000000" w:rsidDel="00000000" w:rsidP="00000000" w:rsidRDefault="00000000" w:rsidRPr="00000000" w14:paraId="0000009D">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2. Индекс доминирования Симпсона и индекс разнообразия Шеннона.</w:t>
      </w:r>
    </w:p>
    <w:tbl>
      <w:tblPr>
        <w:tblStyle w:val="Table1"/>
        <w:tblpPr w:leftFromText="180" w:rightFromText="180" w:topFromText="180" w:bottomFromText="180" w:vertAnchor="text" w:horzAnchor="text" w:tblpX="-232.99999999999955" w:tblpY="0"/>
        <w:tblW w:w="10140.0" w:type="dxa"/>
        <w:jc w:val="left"/>
        <w:tblLayout w:type="fixed"/>
        <w:tblLook w:val="0600"/>
      </w:tblPr>
      <w:tblGrid>
        <w:gridCol w:w="2100"/>
        <w:gridCol w:w="1560"/>
        <w:gridCol w:w="1620"/>
        <w:gridCol w:w="1620"/>
        <w:gridCol w:w="1620"/>
        <w:gridCol w:w="1620"/>
        <w:tblGridChange w:id="0">
          <w:tblGrid>
            <w:gridCol w:w="2100"/>
            <w:gridCol w:w="1560"/>
            <w:gridCol w:w="1620"/>
            <w:gridCol w:w="1620"/>
            <w:gridCol w:w="1620"/>
            <w:gridCol w:w="1620"/>
          </w:tblGrid>
        </w:tblGridChange>
      </w:tblGrid>
      <w:tr>
        <w:trPr>
          <w:cantSplit w:val="0"/>
          <w:trHeight w:val="127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E">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Место отбора проб</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F">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ПП “Кайбицкие дубравы”</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0">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Остепненная дубрава, окр. с. Турминское</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1">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Осветленная дубрава, окр. с. Каргалы</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2">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Окр. Нового Аракчино</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3">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Лес на Дубравной</w:t>
            </w:r>
          </w:p>
        </w:tc>
      </w:tr>
      <w:tr>
        <w:trPr>
          <w:cantSplit w:val="0"/>
          <w:trHeight w:val="52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4">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Индекс Симпсона(D)</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5">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6">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7">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8">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9">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0.11</w:t>
            </w:r>
          </w:p>
        </w:tc>
      </w:tr>
      <w:tr>
        <w:trPr>
          <w:cantSplit w:val="0"/>
          <w:trHeight w:val="52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A">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Индекс Симпсона(D-1)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B">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C">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D">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E">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F">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0.89</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0">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Индекс Шеннона</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1">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1,883714833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2">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2,045870762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3">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2,303106172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4">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2,099216268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5">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2,228030045</w:t>
            </w:r>
            <w:r w:rsidDel="00000000" w:rsidR="00000000" w:rsidRPr="00000000">
              <w:rPr>
                <w:rtl w:val="0"/>
              </w:rPr>
            </w:r>
          </w:p>
        </w:tc>
      </w:tr>
    </w:tbl>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w:t>
      </w: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Коэффициент Серенсена-Чекановского для сравниваемых биотопов.</w:t>
      </w:r>
    </w:p>
    <w:tbl>
      <w:tblPr>
        <w:tblStyle w:val="Table2"/>
        <w:tblW w:w="100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1380"/>
        <w:gridCol w:w="2130"/>
        <w:gridCol w:w="1875"/>
        <w:gridCol w:w="1530"/>
        <w:gridCol w:w="1560"/>
        <w:tblGridChange w:id="0">
          <w:tblGrid>
            <w:gridCol w:w="1620"/>
            <w:gridCol w:w="1380"/>
            <w:gridCol w:w="2130"/>
            <w:gridCol w:w="1875"/>
            <w:gridCol w:w="1530"/>
            <w:gridCol w:w="1560"/>
          </w:tblGrid>
        </w:tblGridChange>
      </w:tblGrid>
      <w:tr>
        <w:trPr>
          <w:cantSplit w:val="0"/>
          <w:trHeight w:val="208.2928466796874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Биотопы</w:t>
            </w:r>
          </w:p>
        </w:tc>
        <w:tc>
          <w:tcPr>
            <w:shd w:fill="auto" w:val="clear"/>
            <w:tcMar>
              <w:top w:w="100.0" w:type="dxa"/>
              <w:left w:w="100.0" w:type="dxa"/>
              <w:bottom w:w="100.0" w:type="dxa"/>
              <w:right w:w="100.0" w:type="dxa"/>
            </w:tcMa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Окр. Ново</w:t>
            </w:r>
            <w:r w:rsidDel="00000000" w:rsidR="00000000" w:rsidRPr="00000000">
              <w:rPr>
                <w:rFonts w:ascii="Times New Roman" w:cs="Times New Roman" w:eastAsia="Times New Roman" w:hAnsi="Times New Roman"/>
                <w:sz w:val="24"/>
                <w:szCs w:val="24"/>
                <w:rtl w:val="0"/>
              </w:rPr>
              <w:t xml:space="preserve">го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Аракчино</w:t>
            </w:r>
          </w:p>
        </w:tc>
        <w:tc>
          <w:tcPr>
            <w:shd w:fill="auto" w:val="clear"/>
            <w:tcMar>
              <w:top w:w="100.0" w:type="dxa"/>
              <w:left w:w="100.0" w:type="dxa"/>
              <w:bottom w:w="100.0" w:type="dxa"/>
              <w:right w:w="100.0" w:type="dxa"/>
            </w:tcMa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Осветленная дубрава, </w:t>
            </w:r>
            <w:r w:rsidDel="00000000" w:rsidR="00000000" w:rsidRPr="00000000">
              <w:rPr>
                <w:rFonts w:ascii="Times New Roman" w:cs="Times New Roman" w:eastAsia="Times New Roman" w:hAnsi="Times New Roman"/>
                <w:sz w:val="26"/>
                <w:szCs w:val="26"/>
                <w:rtl w:val="0"/>
              </w:rPr>
              <w:t xml:space="preserve">окр. с. Каргалы</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Остепененная дубрава</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6"/>
                <w:szCs w:val="26"/>
                <w:rtl w:val="0"/>
              </w:rPr>
              <w:t xml:space="preserve">окр. с. </w:t>
            </w:r>
            <w:r w:rsidDel="00000000" w:rsidR="00000000" w:rsidRPr="00000000">
              <w:rPr>
                <w:rFonts w:ascii="Times New Roman" w:cs="Times New Roman" w:eastAsia="Times New Roman" w:hAnsi="Times New Roman"/>
                <w:sz w:val="24"/>
                <w:szCs w:val="24"/>
                <w:rtl w:val="0"/>
              </w:rPr>
              <w:t xml:space="preserve">Турминское</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ПП “Кайбицкие дубравы”</w:t>
            </w:r>
          </w:p>
        </w:tc>
        <w:tc>
          <w:tcPr>
            <w:shd w:fill="auto" w:val="clear"/>
            <w:tcMar>
              <w:top w:w="100.0" w:type="dxa"/>
              <w:left w:w="100.0" w:type="dxa"/>
              <w:bottom w:w="100.0" w:type="dxa"/>
              <w:right w:w="100.0" w:type="dxa"/>
            </w:tcMa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Лес на Дубравной</w:t>
            </w:r>
            <w:r w:rsidDel="00000000" w:rsidR="00000000" w:rsidRPr="00000000">
              <w:rPr>
                <w:rtl w:val="0"/>
              </w:rPr>
            </w:r>
          </w:p>
        </w:tc>
      </w:tr>
      <w:tr>
        <w:trPr>
          <w:cantSplit w:val="0"/>
          <w:trHeight w:val="680.649414062499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Окр. Ново</w:t>
            </w:r>
            <w:r w:rsidDel="00000000" w:rsidR="00000000" w:rsidRPr="00000000">
              <w:rPr>
                <w:rFonts w:ascii="Times New Roman" w:cs="Times New Roman" w:eastAsia="Times New Roman" w:hAnsi="Times New Roman"/>
                <w:sz w:val="24"/>
                <w:szCs w:val="24"/>
                <w:rtl w:val="0"/>
              </w:rPr>
              <w:t xml:space="preserve">го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Аракчино</w:t>
            </w:r>
          </w:p>
        </w:tc>
        <w:tc>
          <w:tcPr>
            <w:shd w:fill="bfbfbf" w:val="clear"/>
            <w:tcMar>
              <w:top w:w="100.0" w:type="dxa"/>
              <w:left w:w="100.0" w:type="dxa"/>
              <w:bottom w:w="100.0" w:type="dxa"/>
              <w:right w:w="100.0" w:type="dxa"/>
            </w:tcMa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highlight w:val="black"/>
                <w:u w:val="none"/>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0.66</w:t>
            </w:r>
          </w:p>
        </w:tc>
        <w:tc>
          <w:tcPr>
            <w:shd w:fill="auto" w:val="clear"/>
            <w:tcMar>
              <w:top w:w="100.0" w:type="dxa"/>
              <w:left w:w="100.0" w:type="dxa"/>
              <w:bottom w:w="100.0" w:type="dxa"/>
              <w:right w:w="100.0" w:type="dxa"/>
            </w:tcMa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0.66</w:t>
            </w:r>
          </w:p>
        </w:tc>
        <w:tc>
          <w:tcPr>
            <w:shd w:fill="auto" w:val="clear"/>
            <w:tcMar>
              <w:top w:w="100.0" w:type="dxa"/>
              <w:left w:w="100.0" w:type="dxa"/>
              <w:bottom w:w="100.0" w:type="dxa"/>
              <w:right w:w="100.0" w:type="dxa"/>
            </w:tcMar>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0.58</w:t>
            </w:r>
          </w:p>
        </w:tc>
        <w:tc>
          <w:tcPr>
            <w:shd w:fill="auto" w:val="clear"/>
            <w:tcMar>
              <w:top w:w="100.0" w:type="dxa"/>
              <w:left w:w="100.0" w:type="dxa"/>
              <w:bottom w:w="100.0" w:type="dxa"/>
              <w:right w:w="100.0" w:type="dxa"/>
            </w:tcMa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0.42</w:t>
            </w:r>
            <w:r w:rsidDel="00000000" w:rsidR="00000000" w:rsidRPr="00000000">
              <w:rPr>
                <w:rtl w:val="0"/>
              </w:rPr>
            </w:r>
          </w:p>
        </w:tc>
      </w:tr>
      <w:tr>
        <w:trPr>
          <w:cantSplit w:val="0"/>
          <w:trHeight w:val="740.649414062499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Осветленная дубрава</w:t>
            </w:r>
          </w:p>
        </w:tc>
        <w:tc>
          <w:tcPr>
            <w:shd w:fill="auto" w:val="clear"/>
            <w:tcMar>
              <w:top w:w="100.0" w:type="dxa"/>
              <w:left w:w="100.0" w:type="dxa"/>
              <w:bottom w:w="100.0" w:type="dxa"/>
              <w:right w:w="100.0" w:type="dxa"/>
            </w:tcMa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0.66</w:t>
            </w:r>
          </w:p>
        </w:tc>
        <w:tc>
          <w:tcPr>
            <w:shd w:fill="bfbfbf" w:val="clear"/>
            <w:tcMar>
              <w:top w:w="100.0" w:type="dxa"/>
              <w:left w:w="100.0" w:type="dxa"/>
              <w:bottom w:w="100.0" w:type="dxa"/>
              <w:right w:w="100.0" w:type="dxa"/>
            </w:tcMa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highlight w:val="black"/>
                <w:u w:val="none"/>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0.66</w:t>
            </w:r>
          </w:p>
        </w:tc>
        <w:tc>
          <w:tcPr>
            <w:shd w:fill="auto" w:val="clear"/>
            <w:tcMar>
              <w:top w:w="100.0" w:type="dxa"/>
              <w:left w:w="100.0" w:type="dxa"/>
              <w:bottom w:w="100.0" w:type="dxa"/>
              <w:right w:w="100.0" w:type="dxa"/>
            </w:tcMa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0.6</w:t>
            </w:r>
          </w:p>
        </w:tc>
        <w:tc>
          <w:tcPr>
            <w:shd w:fill="auto" w:val="clear"/>
            <w:tcMar>
              <w:top w:w="100.0" w:type="dxa"/>
              <w:left w:w="100.0" w:type="dxa"/>
              <w:bottom w:w="100.0" w:type="dxa"/>
              <w:right w:w="100.0" w:type="dxa"/>
            </w:tcMa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0.45</w:t>
            </w:r>
            <w:r w:rsidDel="00000000" w:rsidR="00000000" w:rsidRPr="00000000">
              <w:rPr>
                <w:rtl w:val="0"/>
              </w:rPr>
            </w:r>
          </w:p>
        </w:tc>
      </w:tr>
      <w:tr>
        <w:trPr>
          <w:cantSplit w:val="0"/>
          <w:trHeight w:val="650.649414062499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Остепененная дубрава</w:t>
            </w:r>
          </w:p>
        </w:tc>
        <w:tc>
          <w:tcPr>
            <w:shd w:fill="auto" w:val="clear"/>
            <w:tcMar>
              <w:top w:w="100.0" w:type="dxa"/>
              <w:left w:w="100.0" w:type="dxa"/>
              <w:bottom w:w="100.0" w:type="dxa"/>
              <w:right w:w="100.0" w:type="dxa"/>
            </w:tcMa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0.66</w:t>
            </w:r>
          </w:p>
        </w:tc>
        <w:tc>
          <w:tcPr>
            <w:shd w:fill="auto" w:val="clear"/>
            <w:tcMar>
              <w:top w:w="100.0" w:type="dxa"/>
              <w:left w:w="100.0" w:type="dxa"/>
              <w:bottom w:w="100.0" w:type="dxa"/>
              <w:right w:w="100.0" w:type="dxa"/>
            </w:tcMa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0.66</w:t>
            </w:r>
          </w:p>
        </w:tc>
        <w:tc>
          <w:tcPr>
            <w:shd w:fill="bfbfbf" w:val="clear"/>
            <w:tcMar>
              <w:top w:w="100.0" w:type="dxa"/>
              <w:left w:w="100.0" w:type="dxa"/>
              <w:bottom w:w="100.0" w:type="dxa"/>
              <w:right w:w="100.0" w:type="dxa"/>
            </w:tcMa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highlight w:val="black"/>
                <w:u w:val="none"/>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0.7</w:t>
            </w:r>
          </w:p>
        </w:tc>
        <w:tc>
          <w:tcPr>
            <w:shd w:fill="auto" w:val="clear"/>
            <w:tcMar>
              <w:top w:w="100.0" w:type="dxa"/>
              <w:left w:w="100.0" w:type="dxa"/>
              <w:bottom w:w="100.0" w:type="dxa"/>
              <w:right w:w="100.0" w:type="dxa"/>
            </w:tcMa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0.32</w:t>
            </w:r>
            <w:r w:rsidDel="00000000" w:rsidR="00000000" w:rsidRPr="00000000">
              <w:rPr>
                <w:rtl w:val="0"/>
              </w:rPr>
            </w:r>
          </w:p>
        </w:tc>
      </w:tr>
      <w:tr>
        <w:trPr>
          <w:cantSplit w:val="0"/>
          <w:trHeight w:val="785.649414062499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ПП “Кайбицкие дубравы”</w:t>
            </w:r>
          </w:p>
        </w:tc>
        <w:tc>
          <w:tcPr>
            <w:shd w:fill="auto" w:val="clear"/>
            <w:tcMar>
              <w:top w:w="100.0" w:type="dxa"/>
              <w:left w:w="100.0" w:type="dxa"/>
              <w:bottom w:w="100.0" w:type="dxa"/>
              <w:right w:w="100.0" w:type="dxa"/>
            </w:tcMa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0.58</w:t>
            </w:r>
          </w:p>
        </w:tc>
        <w:tc>
          <w:tcPr>
            <w:shd w:fill="auto" w:val="clear"/>
            <w:tcMar>
              <w:top w:w="100.0" w:type="dxa"/>
              <w:left w:w="100.0" w:type="dxa"/>
              <w:bottom w:w="100.0" w:type="dxa"/>
              <w:right w:w="100.0" w:type="dxa"/>
            </w:tcMa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0.6</w:t>
            </w:r>
          </w:p>
        </w:tc>
        <w:tc>
          <w:tcPr>
            <w:shd w:fill="auto" w:val="clear"/>
            <w:tcMar>
              <w:top w:w="100.0" w:type="dxa"/>
              <w:left w:w="100.0" w:type="dxa"/>
              <w:bottom w:w="100.0" w:type="dxa"/>
              <w:right w:w="100.0" w:type="dxa"/>
            </w:tcMa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0.7</w:t>
            </w:r>
          </w:p>
        </w:tc>
        <w:tc>
          <w:tcPr>
            <w:shd w:fill="bfbfbf" w:val="clear"/>
            <w:tcMar>
              <w:top w:w="100.0" w:type="dxa"/>
              <w:left w:w="100.0" w:type="dxa"/>
              <w:bottom w:w="100.0" w:type="dxa"/>
              <w:right w:w="100.0" w:type="dxa"/>
            </w:tcMa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highlight w:val="black"/>
                <w:u w:val="none"/>
                <w:vertAlign w:val="baseline"/>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sz w:val="24"/>
                <w:szCs w:val="24"/>
                <w:highlight w:val="white"/>
                <w:rtl w:val="0"/>
              </w:rPr>
              <w:t xml:space="preserve">0.33</w:t>
            </w:r>
            <w:r w:rsidDel="00000000" w:rsidR="00000000" w:rsidRPr="00000000">
              <w:rPr>
                <w:rtl w:val="0"/>
              </w:rPr>
            </w:r>
          </w:p>
        </w:tc>
      </w:tr>
      <w:tr>
        <w:trPr>
          <w:cantSplit w:val="0"/>
          <w:trHeight w:val="785.649414062499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Лес на Дубравной</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0.42</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0.45</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0.32</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sz w:val="24"/>
                <w:szCs w:val="24"/>
                <w:rtl w:val="0"/>
              </w:rPr>
              <w:t xml:space="preserve">0.33</w:t>
            </w:r>
            <w:r w:rsidDel="00000000" w:rsidR="00000000" w:rsidRPr="00000000">
              <w:rPr>
                <w:rtl w:val="0"/>
              </w:rPr>
            </w:r>
          </w:p>
        </w:tc>
        <w:tc>
          <w:tcPr>
            <w:shd w:fill="bfbfbf" w:val="clear"/>
            <w:tcMar>
              <w:top w:w="100.0" w:type="dxa"/>
              <w:left w:w="100.0" w:type="dxa"/>
              <w:bottom w:w="100.0" w:type="dxa"/>
              <w:right w:w="100.0" w:type="dxa"/>
            </w:tcMa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tc>
      </w:tr>
    </w:tbl>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Заключение</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Исследования биоразнообразия миксомицетов на коре дуба из разных типов сообществ с участием данной породы показали, что разнообразие миксомицетов зависят не только от специфики условий микроместообитаний, но от таких значимых факторов, как освещенность, экспозиция, условия увлажнения. Были выявлены как общие виды для всех типов рассмотренных сообществ, так и виды, встреченные лишь в одном из них, что указывает на необходимость продолжения исследований. При этом общие виды едва ли можно было бы назвать специфичными к коре дуба. В частности,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Arcyria cinerea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населяет широкий спектр условий. Важность подобных исследований подчеркивает и тот факт, что по результатам были обнаружены новые виды для территории Республики Татарстан, что говорит об обнаружении новых экологических ниш, при этом немаловажное значение имеет и общее состояние изученности территории республики. Таким образом, мы частично подтвердили нашу гипотезу и определили потребность в более широкомасштабных исследованиях миксомицетов дубрав. </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Выводы</w:t>
      </w:r>
    </w:p>
    <w:p w:rsidR="00000000" w:rsidDel="00000000" w:rsidP="00000000" w:rsidRDefault="00000000" w:rsidRPr="00000000" w14:paraId="000000E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ходе проведенных исследований на коре дуба в условиях лесных сообществ Республики Татарстан было выявлено 5 порядков, </w:t>
      </w:r>
      <w:r w:rsidDel="00000000" w:rsidR="00000000" w:rsidRPr="00000000">
        <w:rPr>
          <w:rFonts w:ascii="Times New Roman" w:cs="Times New Roman" w:eastAsia="Times New Roman" w:hAnsi="Times New Roman"/>
          <w:sz w:val="28"/>
          <w:szCs w:val="28"/>
          <w:rtl w:val="0"/>
        </w:rPr>
        <w:t xml:space="preserve">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семейств, </w:t>
      </w:r>
      <w:r w:rsidDel="00000000" w:rsidR="00000000" w:rsidRPr="00000000">
        <w:rPr>
          <w:rFonts w:ascii="Times New Roman" w:cs="Times New Roman" w:eastAsia="Times New Roman" w:hAnsi="Times New Roman"/>
          <w:sz w:val="28"/>
          <w:szCs w:val="28"/>
          <w:rtl w:val="0"/>
        </w:rPr>
        <w:t xml:space="preserve">11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родов и </w:t>
      </w:r>
      <w:r w:rsidDel="00000000" w:rsidR="00000000" w:rsidRPr="00000000">
        <w:rPr>
          <w:rFonts w:ascii="Times New Roman" w:cs="Times New Roman" w:eastAsia="Times New Roman" w:hAnsi="Times New Roman"/>
          <w:sz w:val="28"/>
          <w:szCs w:val="28"/>
          <w:rtl w:val="0"/>
        </w:rPr>
        <w:t xml:space="preserve">21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вид миксомицетов.</w:t>
      </w:r>
      <w:r w:rsidDel="00000000" w:rsidR="00000000" w:rsidRPr="00000000">
        <w:rPr>
          <w:rtl w:val="0"/>
        </w:rPr>
      </w:r>
    </w:p>
    <w:p w:rsidR="00000000" w:rsidDel="00000000" w:rsidP="00000000" w:rsidRDefault="00000000" w:rsidRPr="00000000" w14:paraId="000000E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Общими для всех биотопов являются виды: </w:t>
      </w:r>
      <w:r w:rsidDel="00000000" w:rsidR="00000000" w:rsidRPr="00000000">
        <w:rPr>
          <w:rFonts w:ascii="Times New Roman" w:cs="Times New Roman" w:eastAsia="Times New Roman" w:hAnsi="Times New Roman"/>
          <w:i w:val="1"/>
          <w:sz w:val="28"/>
          <w:szCs w:val="28"/>
          <w:rtl w:val="0"/>
        </w:rPr>
        <w:t xml:space="preserve">Arcyria сinerea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Echinostelium minutum</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Единично встречались виды: </w:t>
      </w:r>
      <w:r w:rsidDel="00000000" w:rsidR="00000000" w:rsidRPr="00000000">
        <w:rPr>
          <w:rFonts w:ascii="Times New Roman" w:cs="Times New Roman" w:eastAsia="Times New Roman" w:hAnsi="Times New Roman"/>
          <w:i w:val="1"/>
          <w:sz w:val="28"/>
          <w:szCs w:val="28"/>
          <w:rtl w:val="0"/>
        </w:rPr>
        <w:t xml:space="preserve">Badhamia capsulifera, </w:t>
      </w:r>
      <w:r w:rsidDel="00000000" w:rsidR="00000000" w:rsidRPr="00000000">
        <w:rPr>
          <w:rFonts w:ascii="Times New Roman" w:cs="Times New Roman" w:eastAsia="Times New Roman" w:hAnsi="Times New Roman"/>
          <w:i w:val="1"/>
          <w:sz w:val="26"/>
          <w:szCs w:val="26"/>
          <w:rtl w:val="0"/>
        </w:rPr>
        <w:t xml:space="preserve">Cribraria violacea, </w:t>
      </w:r>
      <w:r w:rsidDel="00000000" w:rsidR="00000000" w:rsidRPr="00000000">
        <w:rPr>
          <w:rFonts w:ascii="Times New Roman" w:cs="Times New Roman" w:eastAsia="Times New Roman" w:hAnsi="Times New Roman"/>
          <w:i w:val="1"/>
          <w:sz w:val="28"/>
          <w:szCs w:val="28"/>
          <w:rtl w:val="0"/>
        </w:rPr>
        <w:t xml:space="preserve">Dianema corticatum</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Licea biforis, Licea kleistobolus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Licea pusilla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Licea variabilis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Perichaena calongei,</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Physarum album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i w:val="1"/>
          <w:sz w:val="28"/>
          <w:szCs w:val="28"/>
          <w:rtl w:val="0"/>
        </w:rPr>
        <w:t xml:space="preserve">Physarum globuliferum, Trichia favoginea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Чаще встречались виды: </w:t>
      </w:r>
      <w:r w:rsidDel="00000000" w:rsidR="00000000" w:rsidRPr="00000000">
        <w:rPr>
          <w:rFonts w:ascii="Times New Roman" w:cs="Times New Roman" w:eastAsia="Times New Roman" w:hAnsi="Times New Roman"/>
          <w:i w:val="1"/>
          <w:sz w:val="28"/>
          <w:szCs w:val="28"/>
          <w:rtl w:val="0"/>
        </w:rPr>
        <w:t xml:space="preserve">Badhamia utricularis, Calomyxa metallica,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Licea operculata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Licea parasitica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i w:val="1"/>
          <w:sz w:val="28"/>
          <w:szCs w:val="28"/>
          <w:rtl w:val="0"/>
        </w:rPr>
        <w:t xml:space="preserve">Paradiacheopsis solitaria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Perichaena vermicularis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i w:val="1"/>
          <w:sz w:val="28"/>
          <w:szCs w:val="28"/>
          <w:rtl w:val="0"/>
        </w:rPr>
        <w:t xml:space="preserve">Physarum decipiens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E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Было выявлено 5 новых для Республики Татарстан видов: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Licea operculata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Dianema corticatum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Badhamia utricularis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Physarum decipiens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Calomyxa metallica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E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Наибольшее биоразнообразие было отмечено на площадке “Осветленная дубрава</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окр. с. Каргалы (Кайбицкий район), наименьшее число видов обнаружено в дубраве у о.п. Новое Аракчино (г. Казань). </w:t>
      </w:r>
    </w:p>
    <w:p w:rsidR="00000000" w:rsidDel="00000000" w:rsidP="00000000" w:rsidRDefault="00000000" w:rsidRPr="00000000" w14:paraId="000000E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Наибольшее количество спороношений в камерах отмечено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у видов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Arcyria cinerea</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sz w:val="28"/>
          <w:szCs w:val="28"/>
          <w:highlight w:val="white"/>
          <w:rtl w:val="0"/>
        </w:rPr>
        <w:t xml:space="preserve">42</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i w:val="1"/>
          <w:sz w:val="28"/>
          <w:szCs w:val="28"/>
          <w:highlight w:val="white"/>
          <w:rtl w:val="0"/>
        </w:rPr>
        <w:t xml:space="preserve">Licea operculata</w:t>
      </w:r>
      <w:r w:rsidDel="00000000" w:rsidR="00000000" w:rsidRPr="00000000">
        <w:rPr>
          <w:rFonts w:ascii="Times New Roman" w:cs="Times New Roman" w:eastAsia="Times New Roman" w:hAnsi="Times New Roman"/>
          <w:sz w:val="28"/>
          <w:szCs w:val="28"/>
          <w:highlight w:val="white"/>
          <w:rtl w:val="0"/>
        </w:rPr>
        <w:t xml:space="preserve"> (40)</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Licea parasitica</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(2</w:t>
      </w:r>
      <w:r w:rsidDel="00000000" w:rsidR="00000000" w:rsidRPr="00000000">
        <w:rPr>
          <w:rFonts w:ascii="Times New Roman" w:cs="Times New Roman" w:eastAsia="Times New Roman" w:hAnsi="Times New Roman"/>
          <w:sz w:val="28"/>
          <w:szCs w:val="28"/>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Наименьшее количество спороношений отмечено у видов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Badhamia capsulifera</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(1),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Physarum album</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(2),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Licea variabilis</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(2) и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Licea pussila</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(3). </w:t>
      </w:r>
      <w:r w:rsidDel="00000000" w:rsidR="00000000" w:rsidRPr="00000000">
        <w:rPr>
          <w:rtl w:val="0"/>
        </w:rPr>
      </w:r>
    </w:p>
    <w:p w:rsidR="00000000" w:rsidDel="00000000" w:rsidP="00000000" w:rsidRDefault="00000000" w:rsidRPr="00000000" w14:paraId="000000E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Наибольшим коэффициентом сходства характеризуется пара: </w:t>
      </w:r>
      <w:r w:rsidDel="00000000" w:rsidR="00000000" w:rsidRPr="00000000">
        <w:rPr>
          <w:rFonts w:ascii="Times New Roman" w:cs="Times New Roman" w:eastAsia="Times New Roman" w:hAnsi="Times New Roman"/>
          <w:sz w:val="28"/>
          <w:szCs w:val="28"/>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степненная дубрава у с. Турминское</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sz w:val="28"/>
          <w:szCs w:val="28"/>
          <w:rtl w:val="0"/>
        </w:rPr>
        <w:t xml:space="preserve">“ПП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Кайбицкие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дубравы</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наименьшим: </w:t>
      </w:r>
      <w:r w:rsidDel="00000000" w:rsidR="00000000" w:rsidRPr="00000000">
        <w:rPr>
          <w:rFonts w:ascii="Times New Roman" w:cs="Times New Roman" w:eastAsia="Times New Roman" w:hAnsi="Times New Roman"/>
          <w:sz w:val="28"/>
          <w:szCs w:val="28"/>
          <w:rtl w:val="0"/>
        </w:rPr>
        <w:t xml:space="preserve">“Остепненная дубрава у с. Турминское”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w:t>
      </w:r>
      <w:r w:rsidDel="00000000" w:rsidR="00000000" w:rsidRPr="00000000">
        <w:rPr>
          <w:rFonts w:ascii="Times New Roman" w:cs="Times New Roman" w:eastAsia="Times New Roman" w:hAnsi="Times New Roman"/>
          <w:sz w:val="28"/>
          <w:szCs w:val="28"/>
          <w:rtl w:val="0"/>
        </w:rPr>
        <w:t xml:space="preserve">”Лес на Дубравной”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Такое соотношение может быть объяснено спецификой условий обитаний данных сообществ, а именно условиями освещения и увлажнения, рельефом и типом лесного сообщества с различной мерой участия дуба в древостое.</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Список использованной литературы</w:t>
      </w:r>
    </w:p>
    <w:p w:rsidR="00000000" w:rsidDel="00000000" w:rsidP="00000000" w:rsidRDefault="00000000" w:rsidRPr="00000000" w14:paraId="0000010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2" w:right="0" w:firstLine="218"/>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Гмошинский, В.И. Определитель миксомицетов Московского региона. / В.И. Гмошинский, Е.А. Дунаев, Н.И. Киреева. - Москва : Издательство “Культурно-просветительский центр “Архэ” ”, 2021 - 338 с. - ISBN 978-5-94193-089-0.</w:t>
      </w:r>
    </w:p>
    <w:p w:rsidR="00000000" w:rsidDel="00000000" w:rsidP="00000000" w:rsidRDefault="00000000" w:rsidRPr="00000000" w14:paraId="0000010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2" w:right="0" w:firstLine="218"/>
        <w:jc w:val="both"/>
        <w:rPr>
          <w:rFonts w:ascii="Times New Roman" w:cs="Times New Roman" w:eastAsia="Times New Roman" w:hAnsi="Times New Roman"/>
          <w:b w:val="0"/>
          <w:i w:val="0"/>
          <w:smallCaps w:val="0"/>
          <w:strike w:val="0"/>
          <w:color w:val="000000"/>
          <w:sz w:val="28"/>
          <w:szCs w:val="28"/>
          <w:highlight w:val="whit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Лавров, Н.Н. Флора грибов и слизевиков Сибири и смежных областей Европы, Азии и Америки / Н.Н. Лавров - Труд. ТГУ. - Томск: ТГУ, 1948. - Т. 3. - 104 с.</w:t>
      </w:r>
    </w:p>
    <w:p w:rsidR="00000000" w:rsidDel="00000000" w:rsidP="00000000" w:rsidRDefault="00000000" w:rsidRPr="00000000" w14:paraId="0000010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2" w:right="0" w:firstLine="218"/>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Леонтьев, Д.В. Флористический анализ в микологии: учебник для студентов высших учебных заведений / Д.В. Леонтьев – Харьков, 2008. – 110 с. - ISBN 978-966-315-069-7.</w:t>
      </w:r>
    </w:p>
    <w:p w:rsidR="00000000" w:rsidDel="00000000" w:rsidP="00000000" w:rsidRDefault="00000000" w:rsidRPr="00000000" w14:paraId="0000010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2" w:right="0" w:firstLine="218"/>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Матвеев, А.В. Использование метода влажных камер для выявления видового разнообразия миксомицетов. / А.В. Матвеев, В.И. Гмошинский, В.П. Прохоров. // Бюл. моск. о-ва испытателей природы. Отд. биол. - М., 2014. - Т. 119, вып. 5. - С. 36-45.</w:t>
      </w:r>
    </w:p>
    <w:p w:rsidR="00000000" w:rsidDel="00000000" w:rsidP="00000000" w:rsidRDefault="00000000" w:rsidRPr="00000000" w14:paraId="000001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2" w:right="0" w:firstLine="218"/>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Мишулин, А. А. Из истории изучения миксомицетов в России(xⅤIII век - первая половина XX века) / А. А. Мишулин // Проблемы экологического образования в XXI веке : Труды V Международной научной конференции (очно-заочной), Владимир, 25–27 ноября 2021 года. – Владимир: АРКАИМ, 2021. – С. 55-61. – EDN AFNXZN.</w:t>
      </w:r>
    </w:p>
    <w:p w:rsidR="00000000" w:rsidDel="00000000" w:rsidP="00000000" w:rsidRDefault="00000000" w:rsidRPr="00000000" w14:paraId="000001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2" w:right="0" w:firstLine="218"/>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Новожилов, Ю. К. Синэкология миксомицетов в пустыне Северо-Западного Прикаспия / Ю. К. Новожилов, М. Шнитлер, И. В. Землянская // Микология и фитопатология. – 2005. – Т. 39. – № 4. – С. 40-52. – EDN HSJJAL.</w:t>
      </w:r>
    </w:p>
    <w:p w:rsidR="00000000" w:rsidDel="00000000" w:rsidP="00000000" w:rsidRDefault="00000000" w:rsidRPr="00000000" w14:paraId="000001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2" w:right="0" w:firstLine="218"/>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Новожилов, Ю. К. Определитель грибов России. Отдел Слизевики / Ю. К. Новожилов. – Санкт-Петербург : Санкт-Петербургская издательско-книготорговая фирма "Наука", 1993. – 288 с. – ISBN 5-02-026625-6. – EDN SGVCHP.</w:t>
      </w:r>
    </w:p>
    <w:p w:rsidR="00000000" w:rsidDel="00000000" w:rsidP="00000000" w:rsidRDefault="00000000" w:rsidRPr="00000000" w14:paraId="000001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2" w:right="0" w:firstLine="218"/>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Пуряев, А. С. Дубравы Среднего Поволжья: состояние, воспроизводство и сохранение / А. С. Пуряев, И. Н. Зарипов, В. А. Петров // Лесохозяйственная информация. – 2019. – № 3. – С. 190-198. – DOI 10.24419/LHI.2304-3083.2019.3.16. – EDN MSOJFN.</w:t>
      </w:r>
    </w:p>
    <w:p w:rsidR="00000000" w:rsidDel="00000000" w:rsidP="00000000" w:rsidRDefault="00000000" w:rsidRPr="00000000" w14:paraId="000001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2" w:right="0" w:firstLine="218"/>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Садыков, Р. Э. Миксомицеты лесопарков Казани в средневесенних фенологических условиях / Р. Э. Садыков // Географическое изучение территориальных систем : Сборник материалов XV Всероссийской научно-практической конференции студентов, аспирантов и молодых учёных, Пермь, 11–12 мая 2021 года / Под редакцией А.А. Сафаряна. – Пермь: Пермский государственный национальный исследовательский университет, 2021. – С. 11-15. – EDN BFTYTJ.</w:t>
      </w:r>
    </w:p>
    <w:p w:rsidR="00000000" w:rsidDel="00000000" w:rsidP="00000000" w:rsidRDefault="00000000" w:rsidRPr="00000000" w14:paraId="000001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2" w:right="0" w:firstLine="218"/>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Садыков, Р. Э. Биоразнообразие и приуроченность к микроместообитаниям миксомицетов города Казани и его окрестностей / Р. Э. Садыков, К. О. Потапов // Материалы V (ХIII) Международной ботанической конференции молодых учёных в Санкт-Петербурге : Сборник тезисов конференции, Санкт-Петербург, 25–29 апреля 2022 года. – Санкт-Петербург: Ботанический институт им. В.Л. Комарова РАН, 2022. – С. 138-139. – EDN LKUOHI.</w:t>
      </w:r>
    </w:p>
    <w:p w:rsidR="00000000" w:rsidDel="00000000" w:rsidP="00000000" w:rsidRDefault="00000000" w:rsidRPr="00000000" w14:paraId="000001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2" w:right="0" w:firstLine="218"/>
        <w:jc w:val="both"/>
        <w:rPr>
          <w:rFonts w:ascii="Times New Roman" w:cs="Times New Roman" w:eastAsia="Times New Roman" w:hAnsi="Times New Roman"/>
          <w:b w:val="0"/>
          <w:i w:val="0"/>
          <w:smallCaps w:val="0"/>
          <w:strike w:val="0"/>
          <w:color w:val="000000"/>
          <w:sz w:val="28"/>
          <w:szCs w:val="28"/>
          <w:highlight w:val="whit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Bortnikov, F. M.Myxomycetes of Russia: A history of research and a checklist of species / F. M. Bortnikov, A. V. Matveev, V. I. Gmoshinskiy [et al.] // Karstenia. – 2020. – Vol. 58. – No 2. – P. 316-373. – DOI 10.29203/ka.2020.502. – EDN MDRSHA.</w:t>
      </w:r>
    </w:p>
    <w:p w:rsidR="00000000" w:rsidDel="00000000" w:rsidP="00000000" w:rsidRDefault="00000000" w:rsidRPr="00000000" w14:paraId="0000011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2" w:right="0" w:firstLine="218"/>
        <w:jc w:val="both"/>
        <w:rPr>
          <w:rFonts w:ascii="Times New Roman" w:cs="Times New Roman" w:eastAsia="Times New Roman" w:hAnsi="Times New Roman"/>
          <w:b w:val="0"/>
          <w:i w:val="0"/>
          <w:smallCaps w:val="0"/>
          <w:strike w:val="0"/>
          <w:color w:val="000000"/>
          <w:sz w:val="28"/>
          <w:szCs w:val="28"/>
          <w:highlight w:val="whit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Dai D. et al. Life Cycles of Myxogastria Stemonitopsis typhina and Stemonitis fusca on Agar Culture //Journal of Eukaryotic Microbiology. — 2019.</w:t>
      </w:r>
    </w:p>
    <w:p w:rsidR="00000000" w:rsidDel="00000000" w:rsidP="00000000" w:rsidRDefault="00000000" w:rsidRPr="00000000" w14:paraId="000001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2" w:right="0" w:firstLine="218"/>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Novozhilov, Yu. K. Biodiversity of plasmodial slime moulds (Myxogastria): measurement and interpretation /Novozhilov Yu. K., Schnittler M., Zemlianskaia I.V., Fefelov K.A. - Protistology. 2000. Vol. 1. N 4. P. 161–178.</w:t>
      </w:r>
    </w:p>
    <w:p w:rsidR="00000000" w:rsidDel="00000000" w:rsidP="00000000" w:rsidRDefault="00000000" w:rsidRPr="00000000" w14:paraId="000001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2" w:right="0" w:firstLine="218"/>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Stephenson, S.L. Myxomycetes: biology, systematics, biogeography, and ecology/ Stephenson S.L., Rojas C. - Academic Press, 2017. — 474 p.</w:t>
      </w:r>
    </w:p>
    <w:p w:rsidR="00000000" w:rsidDel="00000000" w:rsidP="00000000" w:rsidRDefault="00000000" w:rsidRPr="00000000" w14:paraId="000001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2" w:right="0" w:firstLine="218"/>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Steven, L. Stephenson Distribution and ecology of myxomycetes in high-latitude regions of the Northern Hemisphere /Steven L. Stephenson, Yuri K. Novozhilov, Martin Schnittler// Journal of Biogeography. — 2000. — Vol. 27, iss. 3. — P. 741–754. — ISSN 1365-2699 0305-0270, 1365-2699. — doi:10.1046/j.1365-2699.2000.00442.x.</w:t>
      </w:r>
    </w:p>
    <w:p w:rsidR="00000000" w:rsidDel="00000000" w:rsidP="00000000" w:rsidRDefault="00000000" w:rsidRPr="00000000" w14:paraId="000001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2" w:right="0" w:firstLine="218"/>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 Shannon C. E., Weaver W. The Mathematical Theory of Communication. Urbana: Univ. Illinois Press, 1963. 117p.</w:t>
      </w:r>
    </w:p>
    <w:p w:rsidR="00000000" w:rsidDel="00000000" w:rsidP="00000000" w:rsidRDefault="00000000" w:rsidRPr="00000000" w14:paraId="0000011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2" w:right="0" w:firstLine="218"/>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Towards a phylogenetic classification of the Myxomycetes / D. V. Leontyev, M. Schnittler, S. L. Stephenson [et al.] // Phytotaxa. – 2019. – Vol. 399. – No 3. – P. 209-238. – DOI 10.11646/phytotaxa.399.3.5. – EDN TPOZTU.</w:t>
      </w:r>
    </w:p>
    <w:p w:rsidR="00000000" w:rsidDel="00000000" w:rsidP="00000000" w:rsidRDefault="00000000" w:rsidRPr="00000000" w14:paraId="000001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2" w:right="0" w:firstLine="218"/>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Zemlyanskaya, I. V. New data on myxomycete diversity of the Republic of Tatarstan (Russia) / I. V. Zemlyanskaya, Yu. K. Novozhilov // Novosti Sistematiki Nizshikh Rastenii. – 2022. – Vol. 56-1. – P. 71-84. – DOI 10.31111/nsnr/2022.56.171. – EDN SHOJIF. </w:t>
      </w:r>
    </w:p>
    <w:p w:rsidR="00000000" w:rsidDel="00000000" w:rsidP="00000000" w:rsidRDefault="00000000" w:rsidRPr="00000000" w14:paraId="000001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2" w:right="0" w:firstLine="218"/>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Команда Кочующие. Леса Татарстана URL: http://komanda-k.ru. (Дата обращения 18.01.2023).</w:t>
      </w:r>
    </w:p>
    <w:p w:rsidR="00000000" w:rsidDel="00000000" w:rsidP="00000000" w:rsidRDefault="00000000" w:rsidRPr="00000000" w14:paraId="00000118">
      <w:pPr>
        <w:spacing w:after="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Приложение</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1.</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Таксономическая структура миксомицетов г. Казани и Кайбицкого р-на Республики Татарстан</w:t>
      </w:r>
    </w:p>
    <w:tbl>
      <w:tblPr>
        <w:tblStyle w:val="Table3"/>
        <w:tblW w:w="9345.0" w:type="dxa"/>
        <w:jc w:val="left"/>
        <w:tblInd w:w="-115.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672"/>
        <w:gridCol w:w="4673"/>
        <w:tblGridChange w:id="0">
          <w:tblGrid>
            <w:gridCol w:w="4672"/>
            <w:gridCol w:w="467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Класс, подкласс, порядок </w:t>
              <w:br w:type="textWrapping"/>
              <w:t xml:space="preserve">Семейство (число родов/число видов)</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Род (число видов)</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Класс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MYXOMYCETES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(11/86)</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Подкласс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Lucisporomycetidae</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Порядок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Liceales</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sz w:val="28"/>
                <w:szCs w:val="28"/>
                <w:rtl w:val="0"/>
              </w:rPr>
              <w:t xml:space="preserve">22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Семейство Liceaceae (1/1)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Licea (</w:t>
            </w:r>
            <w:r w:rsidDel="00000000" w:rsidR="00000000" w:rsidRPr="00000000">
              <w:rPr>
                <w:rFonts w:ascii="Times New Roman" w:cs="Times New Roman" w:eastAsia="Times New Roman" w:hAnsi="Times New Roman"/>
                <w:i w:val="1"/>
                <w:sz w:val="28"/>
                <w:szCs w:val="28"/>
                <w:rtl w:val="0"/>
              </w:rPr>
              <w:t xml:space="preserve">6</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p>
        </w:tc>
      </w:tr>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Cемейство Cribrariaceae (1/2)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1"/>
                <w:sz w:val="28"/>
                <w:szCs w:val="28"/>
                <w:rtl w:val="0"/>
              </w:rPr>
              <w:t xml:space="preserve">Cribraria (1)</w:t>
            </w:r>
            <w:r w:rsidDel="00000000" w:rsidR="00000000" w:rsidRPr="00000000">
              <w:rPr>
                <w:rtl w:val="0"/>
              </w:rPr>
            </w:r>
          </w:p>
        </w:tc>
      </w:tr>
      <w:tr>
        <w:trPr>
          <w:cantSplit w:val="0"/>
          <w:trHeight w:val="28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Порядок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Trichiales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Семейство Trichiaceae (</w:t>
            </w: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Perichaena (</w:t>
            </w:r>
            <w:r w:rsidDel="00000000" w:rsidR="00000000" w:rsidRPr="00000000">
              <w:rPr>
                <w:rFonts w:ascii="Times New Roman" w:cs="Times New Roman" w:eastAsia="Times New Roman" w:hAnsi="Times New Roman"/>
                <w:i w:val="1"/>
                <w:sz w:val="28"/>
                <w:szCs w:val="28"/>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i w:val="1"/>
                <w:sz w:val="28"/>
                <w:szCs w:val="28"/>
                <w:rtl w:val="0"/>
              </w:rPr>
              <w:t xml:space="preserve">, Trichia (1)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Семейство Dianemataceae(2/2)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Calomyxa (1), Dianema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Семейство Arcyriaceae(1/2)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Arcyria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r>
        <w:trPr>
          <w:cantSplit w:val="0"/>
          <w:trHeight w:val="272"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Подкласс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Columellomycetidae</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Порядок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Physarales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Семейство Physaraceae (2/17)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Physarum (</w:t>
            </w:r>
            <w:r w:rsidDel="00000000" w:rsidR="00000000" w:rsidRPr="00000000">
              <w:rPr>
                <w:rFonts w:ascii="Times New Roman" w:cs="Times New Roman" w:eastAsia="Times New Roman" w:hAnsi="Times New Roman"/>
                <w:i w:val="1"/>
                <w:sz w:val="28"/>
                <w:szCs w:val="28"/>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Badhamia (2);</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Порядок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Stemonitidales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(1/14)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Семейство Amaurochaetaceae (1/9)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Paradiacheopsis (1);</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Порядок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Echinosteliales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Семейство Echinosteliaceae (1/2)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Echinostelium (1).</w:t>
            </w:r>
          </w:p>
        </w:tc>
      </w:tr>
    </w:tbl>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30j0zll" w:id="1"/>
      <w:bookmarkEnd w:id="1"/>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2.</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Контрольный лист по учету миксомицетов</w:t>
      </w:r>
    </w:p>
    <w:tbl>
      <w:tblPr>
        <w:tblStyle w:val="Table4"/>
        <w:tblW w:w="9675.0" w:type="dxa"/>
        <w:jc w:val="left"/>
        <w:tblInd w:w="-7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10"/>
        <w:gridCol w:w="1575"/>
        <w:gridCol w:w="1515"/>
        <w:gridCol w:w="1335"/>
        <w:gridCol w:w="1215"/>
        <w:tblGridChange w:id="0">
          <w:tblGrid>
            <w:gridCol w:w="2625"/>
            <w:gridCol w:w="1410"/>
            <w:gridCol w:w="1575"/>
            <w:gridCol w:w="1515"/>
            <w:gridCol w:w="1335"/>
            <w:gridCol w:w="1215"/>
          </w:tblGrid>
        </w:tblGridChange>
      </w:tblGrid>
      <w:tr>
        <w:trPr>
          <w:cantSplit w:val="0"/>
          <w:trHeight w:val="560.7312011718751" w:hRule="atLeast"/>
          <w:tblHeader w:val="0"/>
        </w:trPr>
        <w:tc>
          <w:tcPr>
            <w:tcBorders>
              <w:top w:color="000000" w:space="0" w:sz="6" w:val="single"/>
              <w:left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Место отбора                                     проб</w:t>
            </w:r>
          </w:p>
        </w:tc>
        <w:tc>
          <w:tcPr>
            <w:vMerge w:val="restart"/>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2" w:right="0" w:hanging="102"/>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ПП</w:t>
            </w: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2" w:right="0" w:hanging="10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“Кайбицкие дубравы”</w:t>
            </w:r>
          </w:p>
        </w:tc>
        <w:tc>
          <w:tcPr>
            <w:vMerge w:val="restart"/>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Остепненная дубрава, окр. с. Турминское</w:t>
            </w:r>
          </w:p>
        </w:tc>
        <w:tc>
          <w:tcPr>
            <w:vMerge w:val="restart"/>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Осветленная дубрава, окр. с. Каргалы</w:t>
            </w:r>
          </w:p>
        </w:tc>
        <w:tc>
          <w:tcPr>
            <w:vMerge w:val="restart"/>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Окр. Нового Аракчино</w:t>
            </w:r>
          </w:p>
        </w:tc>
        <w:tc>
          <w:tcPr>
            <w:vMerge w:val="restart"/>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Лес на Дубравной</w:t>
            </w:r>
            <w:r w:rsidDel="00000000" w:rsidR="00000000" w:rsidRPr="00000000">
              <w:rPr>
                <w:rtl w:val="0"/>
              </w:rPr>
            </w:r>
          </w:p>
        </w:tc>
      </w:tr>
      <w:tr>
        <w:trPr>
          <w:cantSplit w:val="0"/>
          <w:trHeight w:val="560.7312011718751" w:hRule="atLeast"/>
          <w:tblHeader w:val="0"/>
        </w:trPr>
        <w:tc>
          <w:tcPr>
            <w:tcBorders>
              <w:top w:color="000000" w:space="0" w:sz="6" w:val="single"/>
              <w:left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Вид</w:t>
            </w:r>
            <w:r w:rsidDel="00000000" w:rsidR="00000000" w:rsidRPr="00000000">
              <w:rPr>
                <w:rtl w:val="0"/>
              </w:rPr>
            </w:r>
          </w:p>
        </w:tc>
        <w:tc>
          <w:tcPr>
            <w:vMerge w:val="continue"/>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Merge w:val="continue"/>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Merge w:val="continue"/>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Merge w:val="continue"/>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Merge w:val="continue"/>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Arcyria cinerea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(Bull.) Pers.</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Badhamia capsulifera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(Bull.) Berk.</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Badhamia utricularis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(Bull.) Berk.*</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Calomyxa metallica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(Berk.) Nieuwl. *</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i w:val="1"/>
                <w:sz w:val="26"/>
                <w:szCs w:val="26"/>
                <w:rtl w:val="0"/>
              </w:rPr>
              <w:t xml:space="preserve">Cribraria violacea </w:t>
            </w:r>
            <w:r w:rsidDel="00000000" w:rsidR="00000000" w:rsidRPr="00000000">
              <w:rPr>
                <w:rFonts w:ascii="Times New Roman" w:cs="Times New Roman" w:eastAsia="Times New Roman" w:hAnsi="Times New Roman"/>
                <w:sz w:val="26"/>
                <w:szCs w:val="26"/>
                <w:rtl w:val="0"/>
              </w:rPr>
              <w:t xml:space="preserve">Rex.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Dianema corticatum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Lister *</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Echinostelium minutum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de Bary</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1"/>
                <w:sz w:val="26"/>
                <w:szCs w:val="26"/>
                <w:rtl w:val="0"/>
              </w:rPr>
              <w:t xml:space="preserve">Licea biforis </w:t>
            </w:r>
            <w:r w:rsidDel="00000000" w:rsidR="00000000" w:rsidRPr="00000000">
              <w:rPr>
                <w:rFonts w:ascii="Times New Roman" w:cs="Times New Roman" w:eastAsia="Times New Roman" w:hAnsi="Times New Roman"/>
                <w:sz w:val="26"/>
                <w:szCs w:val="26"/>
                <w:rtl w:val="0"/>
              </w:rPr>
              <w:t xml:space="preserve">Morgan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Licea kleistobolus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 W. Martin</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Licea operculata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(Wingate) G.W. Martin *</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Licea parasitica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(Zukal) G.W.Martin</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Licea pusilla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Schrad.</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Licea variabilis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Schrad.</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Paradiacheopsis solitaria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(Nann.-Bremek.) Nann.-Bremek.</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1"/>
                <w:sz w:val="26"/>
                <w:szCs w:val="26"/>
                <w:rtl w:val="0"/>
              </w:rPr>
              <w:t xml:space="preserve">Perichaena calongei </w:t>
            </w:r>
            <w:r w:rsidDel="00000000" w:rsidR="00000000" w:rsidRPr="00000000">
              <w:rPr>
                <w:rFonts w:ascii="Times New Roman" w:cs="Times New Roman" w:eastAsia="Times New Roman" w:hAnsi="Times New Roman"/>
                <w:sz w:val="26"/>
                <w:szCs w:val="26"/>
                <w:rtl w:val="0"/>
              </w:rPr>
              <w:t xml:space="preserve">Fries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Perichaena depressa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Lib.</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Perichaena vermicularis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(Schwein.) Rostaf</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Physarum album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(Bull.) Chevall.</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Physarum decipiens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M.A.Curtis*</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1"/>
                <w:sz w:val="26"/>
                <w:szCs w:val="26"/>
                <w:rtl w:val="0"/>
              </w:rPr>
              <w:t xml:space="preserve">Physarum globuliferum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Trichia favoginea </w:t>
            </w:r>
            <w:r w:rsidDel="00000000" w:rsidR="00000000" w:rsidRPr="00000000">
              <w:rPr>
                <w:rFonts w:ascii="Times New Roman" w:cs="Times New Roman" w:eastAsia="Times New Roman" w:hAnsi="Times New Roman"/>
                <w:sz w:val="26"/>
                <w:szCs w:val="26"/>
                <w:rtl w:val="0"/>
              </w:rPr>
              <w:t xml:space="preserve">(Batsch) Pers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r>
    </w:tbl>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ffffff"/>
          <w:sz w:val="28"/>
          <w:szCs w:val="28"/>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новые для Республики Татарстан виды</w:t>
      </w: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3.</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Встречаемость видов (число спороношений) во влажных камерах</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tbl>
      <w:tblPr>
        <w:tblStyle w:val="Table5"/>
        <w:tblW w:w="9738.511811023622"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79.2566322969878"/>
        <w:gridCol w:w="1557.388658481641"/>
        <w:gridCol w:w="1648.159287254451"/>
        <w:gridCol w:w="1577.559909320043"/>
        <w:gridCol w:w="1638.07366183525"/>
        <w:gridCol w:w="1638.07366183525"/>
        <w:tblGridChange w:id="0">
          <w:tblGrid>
            <w:gridCol w:w="1679.2566322969878"/>
            <w:gridCol w:w="1557.388658481641"/>
            <w:gridCol w:w="1648.159287254451"/>
            <w:gridCol w:w="1577.559909320043"/>
            <w:gridCol w:w="1638.07366183525"/>
            <w:gridCol w:w="1638.07366183525"/>
          </w:tblGrid>
        </w:tblGridChange>
      </w:tblGrid>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Места отбора проб</w:t>
            </w:r>
            <w:r w:rsidDel="00000000" w:rsidR="00000000" w:rsidRPr="00000000">
              <w:rPr>
                <w:rtl w:val="0"/>
              </w:rPr>
            </w:r>
          </w:p>
        </w:tc>
        <w:tc>
          <w:tcPr>
            <w:vMerge w:val="restart"/>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ПП “Кайбицкие дубравы”</w:t>
            </w:r>
          </w:p>
        </w:tc>
        <w:tc>
          <w:tcPr>
            <w:vMerge w:val="restart"/>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Остепненная дубрава, окр. с. Турминское</w:t>
            </w:r>
          </w:p>
        </w:tc>
        <w:tc>
          <w:tcPr>
            <w:vMerge w:val="restart"/>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Осветленная дубрава, окр. с. Каргалы</w:t>
            </w:r>
          </w:p>
        </w:tc>
        <w:tc>
          <w:tcPr>
            <w:vMerge w:val="restart"/>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Окр. Нового Аракчино</w:t>
            </w:r>
          </w:p>
        </w:tc>
        <w:tc>
          <w:tcPr>
            <w:vMerge w:val="restart"/>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D6">
            <w:pPr>
              <w:widowControl w:val="0"/>
              <w:spacing w:line="276" w:lineRule="auto"/>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Лес на Дубравной</w:t>
            </w: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Найденные виды</w:t>
            </w:r>
            <w:r w:rsidDel="00000000" w:rsidR="00000000" w:rsidRPr="00000000">
              <w:rPr>
                <w:rtl w:val="0"/>
              </w:rPr>
            </w:r>
          </w:p>
        </w:tc>
        <w:tc>
          <w:tcPr>
            <w:vMerge w:val="continue"/>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Arcyria cinerea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11</w:t>
            </w: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Badhamia capsulifera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0</w:t>
            </w: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Badhamia utricularis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0</w:t>
            </w: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Calomyxa metallica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4</w:t>
            </w: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Cribraria violacea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Dianema corticatum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0</w:t>
            </w: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Echinostelium minutum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5</w:t>
            </w: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Licea biforis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Licea kleistobolus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0</w:t>
            </w: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Licea operculata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6</w:t>
            </w: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Licea parasitica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2</w:t>
            </w: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Licea pusilla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0</w:t>
            </w: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Licea variabilis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0</w:t>
            </w: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Paradiacheopsis solitaria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4</w:t>
            </w: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Perichaena calongei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Perichaena depressa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0</w:t>
            </w: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Perichaena vermicularis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5</w:t>
            </w: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Physarum album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0</w:t>
            </w: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Physarum decipiens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0</w:t>
            </w: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Physarum globuliferum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Trichia favoginea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w:t>
            </w:r>
          </w:p>
        </w:tc>
      </w:tr>
    </w:tbl>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sectPr>
      <w:headerReference r:id="rId11" w:type="first"/>
      <w:footerReference r:id="rId12" w:type="default"/>
      <w:footerReference r:id="rId13" w:type="first"/>
      <w:pgSz w:h="16838" w:w="11906" w:orient="portrait"/>
      <w:pgMar w:bottom="1134" w:top="1134" w:left="1133" w:right="1134"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7"/>
      <w:tblW w:w="9630.0" w:type="dxa"/>
      <w:jc w:val="left"/>
      <w:tblInd w:w="-115.0" w:type="dxa"/>
      <w:tblLayout w:type="fixed"/>
      <w:tblLook w:val="0600"/>
    </w:tblPr>
    <w:tblGrid>
      <w:gridCol w:w="3210"/>
      <w:gridCol w:w="3210"/>
      <w:gridCol w:w="3210"/>
      <w:tblGridChange w:id="0">
        <w:tblGrid>
          <w:gridCol w:w="3210"/>
          <w:gridCol w:w="3210"/>
          <w:gridCol w:w="3210"/>
        </w:tblGrid>
      </w:tblGridChange>
    </w:tblGrid>
    <w:tr>
      <w:trPr>
        <w:cantSplit w:val="0"/>
        <w:trHeight w:val="300" w:hRule="atLeast"/>
        <w:tblHeader w:val="0"/>
      </w:trPr>
      <w:tc>
        <w:tcPr/>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59" w:lineRule="auto"/>
            <w:ind w:left="-11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59"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59" w:lineRule="auto"/>
            <w:ind w:left="0" w:right="-11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8"/>
      <w:tblW w:w="9630.0" w:type="dxa"/>
      <w:jc w:val="left"/>
      <w:tblInd w:w="-115.0" w:type="dxa"/>
      <w:tblLayout w:type="fixed"/>
      <w:tblLook w:val="0600"/>
    </w:tblPr>
    <w:tblGrid>
      <w:gridCol w:w="3210"/>
      <w:gridCol w:w="3210"/>
      <w:gridCol w:w="3210"/>
      <w:tblGridChange w:id="0">
        <w:tblGrid>
          <w:gridCol w:w="3210"/>
          <w:gridCol w:w="3210"/>
          <w:gridCol w:w="3210"/>
        </w:tblGrid>
      </w:tblGridChange>
    </w:tblGrid>
    <w:tr>
      <w:trPr>
        <w:cantSplit w:val="0"/>
        <w:trHeight w:val="300" w:hRule="atLeast"/>
        <w:tblHeader w:val="0"/>
      </w:trPr>
      <w:tc>
        <w:tcPr/>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59" w:lineRule="auto"/>
            <w:ind w:left="-11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59"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59" w:lineRule="auto"/>
            <w:ind w:left="0" w:right="-11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bl>
    <w:tblPr>
      <w:tblStyle w:val="Table6"/>
      <w:tblW w:w="9630.0" w:type="dxa"/>
      <w:jc w:val="left"/>
      <w:tblInd w:w="-115.0" w:type="dxa"/>
      <w:tblLayout w:type="fixed"/>
      <w:tblLook w:val="0600"/>
    </w:tblPr>
    <w:tblGrid>
      <w:gridCol w:w="3210"/>
      <w:gridCol w:w="3210"/>
      <w:gridCol w:w="3210"/>
      <w:tblGridChange w:id="0">
        <w:tblGrid>
          <w:gridCol w:w="3210"/>
          <w:gridCol w:w="3210"/>
          <w:gridCol w:w="3210"/>
        </w:tblGrid>
      </w:tblGridChange>
    </w:tblGrid>
    <w:tr>
      <w:trPr>
        <w:cantSplit w:val="0"/>
        <w:trHeight w:val="270" w:hRule="atLeast"/>
        <w:tblHeader w:val="0"/>
      </w:trPr>
      <w:tc>
        <w:tcPr/>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59" w:lineRule="auto"/>
            <w:ind w:left="-11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59"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59" w:lineRule="auto"/>
            <w:ind w:left="0" w:right="-11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4"/>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3">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4">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5">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6">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7">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8">
    <w:basedOn w:val="TableNormal"/>
    <w:pPr>
      <w:spacing w:after="0" w:line="240" w:lineRule="auto"/>
    </w:pPr>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1.png"/><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jp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