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header1.xml" ContentType="application/vnd.openxmlformats-officedocument.wordprocessingml.header+xml"/>
  <Override PartName="/word/_rels/document.xml.rels" ContentType="application/vnd.openxmlformats-package.relationships+xml"/>
  <Override PartName="/word/media/image6.jpeg" ContentType="image/jpeg"/>
  <Override PartName="/word/media/image3.png" ContentType="image/png"/>
  <Override PartName="/word/media/image4.jpeg" ContentType="image/jpeg"/>
  <Override PartName="/word/media/image11.png" ContentType="image/png"/>
  <Override PartName="/word/media/image2.jpeg" ContentType="image/jpeg"/>
  <Override PartName="/word/media/image1.png" ContentType="image/png"/>
  <Override PartName="/word/media/image8.jpeg" ContentType="image/jpeg"/>
  <Override PartName="/word/media/image5.png" ContentType="image/png"/>
  <Override PartName="/word/media/image7.png" ContentType="image/png"/>
  <Override PartName="/word/media/image9.jpeg" ContentType="image/jpeg"/>
  <Override PartName="/word/media/image10.png" ContentType="image/png"/>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footer2.xml" ContentType="application/vnd.openxmlformats-officedocument.wordprocessingml.footer+xml"/>
  <Override PartName="/word/footer1.xml" ContentType="application/vnd.openxmlformats-officedocument.wordprocessingml.footer+xml"/>
  <Override PartName="/word/document.xml" ContentType="application/vnd.openxmlformats-officedocument.wordprocessingml.document.mai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textAlignment w:val="baseline"/>
        <w:rPr>
          <w:rFonts w:ascii="Times New Roman" w:hAnsi="Times New Roman" w:cs="Times New Roman"/>
        </w:rPr>
      </w:pPr>
      <w:r>
        <w:rPr>
          <w:rFonts w:cs="Times New Roman" w:ascii="Times New Roman" w:hAnsi="Times New Roman"/>
          <w:sz w:val="28"/>
          <w:szCs w:val="28"/>
          <w:shd w:fill="FFFFFF" w:val="clear"/>
        </w:rPr>
        <w:t xml:space="preserve">Муниципальное общеобразовательное учреждение </w:t>
      </w:r>
    </w:p>
    <w:p>
      <w:pPr>
        <w:pStyle w:val="Normal"/>
        <w:jc w:val="center"/>
        <w:textAlignment w:val="baseline"/>
        <w:rPr>
          <w:rFonts w:ascii="Times New Roman" w:hAnsi="Times New Roman" w:cs="Times New Roman"/>
        </w:rPr>
      </w:pPr>
      <w:r>
        <w:rPr>
          <w:rFonts w:cs="Times New Roman" w:ascii="Times New Roman" w:hAnsi="Times New Roman"/>
          <w:sz w:val="28"/>
          <w:szCs w:val="28"/>
          <w:shd w:fill="FFFFFF" w:val="clear"/>
        </w:rPr>
        <w:t>"Гимназия г. Невеля Псковской области"</w:t>
      </w:r>
    </w:p>
    <w:p>
      <w:pPr>
        <w:pStyle w:val="Normal"/>
        <w:tabs>
          <w:tab w:val="clear" w:pos="708"/>
          <w:tab w:val="left" w:pos="4253" w:leader="none"/>
          <w:tab w:val="left" w:pos="5529" w:leader="none"/>
        </w:tabs>
        <w:jc w:val="center"/>
        <w:textAlignment w:val="baseline"/>
        <w:rPr>
          <w:rFonts w:ascii="Times New Roman" w:hAnsi="Times New Roman" w:cs="Times New Roman"/>
        </w:rPr>
      </w:pPr>
      <w:r>
        <w:rPr>
          <w:rFonts w:cs="Times New Roman" w:ascii="Times New Roman" w:hAnsi="Times New Roman"/>
          <w:sz w:val="28"/>
          <w:szCs w:val="28"/>
          <w:shd w:fill="FFFFFF" w:val="clear"/>
        </w:rPr>
        <w:t>Псковская область, город Невель</w:t>
      </w:r>
    </w:p>
    <w:p>
      <w:pPr>
        <w:pStyle w:val="Normal"/>
        <w:tabs>
          <w:tab w:val="clear" w:pos="708"/>
          <w:tab w:val="left" w:pos="4253" w:leader="none"/>
          <w:tab w:val="left" w:pos="5529" w:leader="none"/>
        </w:tabs>
        <w:jc w:val="center"/>
        <w:textAlignment w:val="baseline"/>
        <w:rPr>
          <w:rFonts w:ascii="Times New Roman" w:hAnsi="Times New Roman" w:cs="Times New Roman"/>
        </w:rPr>
      </w:pPr>
      <w:r>
        <w:rPr>
          <w:rFonts w:cs="Times New Roman" w:ascii="Times New Roman" w:hAnsi="Times New Roman"/>
          <w:sz w:val="28"/>
          <w:szCs w:val="28"/>
          <w:shd w:fill="FFFFFF" w:val="clear"/>
        </w:rPr>
        <w:t>Детское объединение «Экологическая тропа»</w:t>
      </w:r>
    </w:p>
    <w:p>
      <w:pPr>
        <w:pStyle w:val="Normal"/>
        <w:tabs>
          <w:tab w:val="clear" w:pos="708"/>
          <w:tab w:val="left" w:pos="4253" w:leader="none"/>
          <w:tab w:val="left" w:pos="5529" w:leader="none"/>
        </w:tabs>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cs="Times New Roman"/>
        </w:rPr>
      </w:pPr>
      <w:r>
        <w:rPr>
          <w:rFonts w:eastAsia="Times New Roman" w:cs="Times New Roman" w:ascii="Times New Roman" w:hAnsi="Times New Roman"/>
          <w:sz w:val="28"/>
          <w:szCs w:val="28"/>
          <w:lang w:eastAsia="ru-RU"/>
        </w:rPr>
        <w:t>ИССЛЕДОВАНИЕ ЭКОЛОГИЧЕСКОГО СОСТОЯНИЯ ВОДЫ              ОЗЕРА НЕВЕЛЬ МЕТОДАМИ БИОТЕСТИРОВАНИЯ И БИОИНДИКАЦИИ</w:t>
      </w:r>
    </w:p>
    <w:p>
      <w:pPr>
        <w:pStyle w:val="Normal"/>
        <w:spacing w:lineRule="auto" w:line="360"/>
        <w:jc w:val="right"/>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right"/>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right"/>
        <w:textAlignment w:val="baseline"/>
        <w:rPr>
          <w:rFonts w:ascii="Times New Roman" w:hAnsi="Times New Roman" w:cs="Times New Roman"/>
        </w:rPr>
      </w:pPr>
      <w:r>
        <w:rPr>
          <w:rFonts w:cs="Times New Roman" w:ascii="Times New Roman" w:hAnsi="Times New Roman"/>
        </w:rPr>
      </w:r>
    </w:p>
    <w:p>
      <w:pPr>
        <w:pStyle w:val="Normal"/>
        <w:spacing w:lineRule="auto" w:line="360"/>
        <w:jc w:val="right"/>
        <w:textAlignment w:val="baseline"/>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right"/>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tbl>
      <w:tblPr>
        <w:tblW w:w="9750" w:type="dxa"/>
        <w:jc w:val="left"/>
        <w:tblInd w:w="0" w:type="dxa"/>
        <w:tblLayout w:type="fixed"/>
        <w:tblCellMar>
          <w:top w:w="0" w:type="dxa"/>
          <w:left w:w="0" w:type="dxa"/>
          <w:bottom w:w="0" w:type="dxa"/>
          <w:right w:w="0" w:type="dxa"/>
        </w:tblCellMar>
        <w:tblLook w:val="04a0" w:noVBand="1" w:noHBand="0" w:firstRow="1" w:lastRow="0" w:firstColumn="1" w:lastColumn="0"/>
      </w:tblPr>
      <w:tblGrid>
        <w:gridCol w:w="5892"/>
        <w:gridCol w:w="3857"/>
      </w:tblGrid>
      <w:tr>
        <w:trPr/>
        <w:tc>
          <w:tcPr>
            <w:tcW w:w="5892" w:type="dxa"/>
            <w:tcBorders/>
          </w:tcPr>
          <w:p>
            <w:pPr>
              <w:pStyle w:val="Style26"/>
              <w:widowControl w:val="false"/>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3857" w:type="dxa"/>
            <w:tcBorders/>
          </w:tcPr>
          <w:p>
            <w:pPr>
              <w:pStyle w:val="Normal"/>
              <w:widowControl w:val="false"/>
              <w:textAlignment w:val="baseline"/>
              <w:rPr>
                <w:rFonts w:ascii="Times New Roman" w:hAnsi="Times New Roman" w:eastAsia="Times New Roman" w:cs="Times New Roman"/>
                <w:sz w:val="28"/>
                <w:szCs w:val="28"/>
              </w:rPr>
            </w:pPr>
            <w:r>
              <w:rPr>
                <w:rFonts w:eastAsia="Times New Roman" w:cs="Times New Roman" w:ascii="Times New Roman" w:hAnsi="Times New Roman"/>
                <w:b/>
                <w:sz w:val="28"/>
                <w:szCs w:val="28"/>
                <w:lang w:eastAsia="ru-RU"/>
              </w:rPr>
              <w:t xml:space="preserve">Автор: </w:t>
            </w:r>
            <w:r>
              <w:rPr>
                <w:rFonts w:eastAsia="Times New Roman" w:cs="Times New Roman" w:ascii="Times New Roman" w:hAnsi="Times New Roman"/>
                <w:sz w:val="28"/>
                <w:szCs w:val="28"/>
                <w:lang w:eastAsia="ru-RU"/>
              </w:rPr>
              <w:t>Гузнякова Алина    Антоновна,   8 класс</w:t>
            </w:r>
          </w:p>
          <w:p>
            <w:pPr>
              <w:pStyle w:val="Normal"/>
              <w:widowControl w:val="false"/>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textAlignment w:val="baseline"/>
              <w:rPr>
                <w:rFonts w:ascii="Times New Roman" w:hAnsi="Times New Roman" w:cs="Times New Roman"/>
              </w:rPr>
            </w:pPr>
            <w:r>
              <w:rPr>
                <w:rFonts w:eastAsia="Times New Roman" w:cs="Times New Roman" w:ascii="Times New Roman" w:hAnsi="Times New Roman"/>
                <w:b/>
                <w:sz w:val="28"/>
                <w:szCs w:val="28"/>
                <w:lang w:eastAsia="ru-RU"/>
              </w:rPr>
              <w:t>Научный руководитель:</w:t>
            </w:r>
          </w:p>
          <w:p>
            <w:pPr>
              <w:pStyle w:val="Normal"/>
              <w:widowControl w:val="false"/>
              <w:textAlignment w:val="baseline"/>
              <w:rPr>
                <w:rFonts w:ascii="Times New Roman" w:hAnsi="Times New Roman" w:cs="Times New Roman"/>
              </w:rPr>
            </w:pPr>
            <w:r>
              <w:rPr>
                <w:rFonts w:eastAsia="Times New Roman" w:cs="Times New Roman" w:ascii="Times New Roman" w:hAnsi="Times New Roman"/>
                <w:sz w:val="28"/>
                <w:szCs w:val="28"/>
                <w:lang w:eastAsia="ru-RU"/>
              </w:rPr>
              <w:t>Супрунова Елена Семеновна,</w:t>
            </w:r>
          </w:p>
          <w:p>
            <w:pPr>
              <w:pStyle w:val="Normal"/>
              <w:widowControl w:val="false"/>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lang w:eastAsia="ru-RU"/>
              </w:rPr>
              <w:t>учитель биологии и химии</w:t>
            </w:r>
          </w:p>
          <w:p>
            <w:pPr>
              <w:pStyle w:val="Normal"/>
              <w:widowControl w:val="false"/>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lang w:eastAsia="ru-RU"/>
              </w:rPr>
              <w:t xml:space="preserve">МОУ </w:t>
            </w:r>
            <w:r>
              <w:rPr>
                <w:rFonts w:eastAsia="Times New Roman" w:cs="Times New Roman" w:ascii="Times New Roman" w:hAnsi="Times New Roman"/>
                <w:sz w:val="28"/>
                <w:szCs w:val="28"/>
                <w:shd w:fill="FFFFFF" w:val="clear"/>
                <w:lang w:eastAsia="ru-RU"/>
              </w:rPr>
              <w:t>"Гимназия г. Невеля Псковской области"</w:t>
            </w:r>
          </w:p>
        </w:tc>
      </w:tr>
    </w:tbl>
    <w:p>
      <w:pPr>
        <w:pStyle w:val="Normal"/>
        <w:spacing w:lineRule="auto" w:line="360"/>
        <w:jc w:val="right"/>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textAlignment w:val="baseline"/>
        <w:rPr>
          <w:rFonts w:ascii="Times New Roman" w:hAnsi="Times New Roman" w:cs="Times New Roman"/>
        </w:rPr>
      </w:pPr>
      <w:r>
        <w:rPr>
          <w:rFonts w:eastAsia="Times New Roman" w:cs="Times New Roman" w:ascii="Times New Roman" w:hAnsi="Times New Roman"/>
          <w:sz w:val="28"/>
          <w:szCs w:val="28"/>
          <w:lang w:eastAsia="ru-RU"/>
        </w:rPr>
        <w:t xml:space="preserve">                                                                               </w:t>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textAlignment w:val="baseline"/>
        <w:rPr>
          <w:rFonts w:ascii="Times New Roman" w:hAnsi="Times New Roman" w:cs="Times New Roman"/>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bCs/>
          <w:kern w:val="2"/>
          <w:sz w:val="28"/>
          <w:szCs w:val="28"/>
          <w:lang w:eastAsia="ru-RU" w:bidi="hi-IN"/>
        </w:rPr>
        <w:t>2023 год</w:t>
      </w:r>
      <w:r>
        <w:rPr>
          <w:rFonts w:eastAsia="Times New Roman" w:cs="Times New Roman" w:ascii="Times New Roman" w:hAnsi="Times New Roman"/>
          <w:bCs/>
          <w:kern w:val="2"/>
          <w:sz w:val="28"/>
          <w:szCs w:val="28"/>
          <w:lang w:bidi="hi-IN"/>
        </w:rPr>
        <w:t xml:space="preserve">      </w:t>
      </w:r>
      <w:r>
        <w:br w:type="page"/>
      </w:r>
    </w:p>
    <w:p>
      <w:pPr>
        <w:pStyle w:val="Normal"/>
        <w:widowControl w:val="false"/>
        <w:rPr>
          <w:rFonts w:ascii="Times New Roman" w:hAnsi="Times New Roman" w:eastAsia="Times New Roman" w:cs="Times New Roman"/>
          <w:b/>
          <w:b/>
          <w:bCs/>
          <w:kern w:val="2"/>
          <w:sz w:val="28"/>
          <w:szCs w:val="28"/>
          <w:lang w:bidi="hi-IN"/>
        </w:rPr>
      </w:pPr>
      <w:r>
        <w:rPr>
          <w:rFonts w:eastAsia="Times New Roman" w:cs="Times New Roman" w:ascii="Times New Roman" w:hAnsi="Times New Roman"/>
          <w:b/>
          <w:bCs/>
          <w:kern w:val="2"/>
          <w:sz w:val="28"/>
          <w:szCs w:val="28"/>
          <w:lang w:bidi="hi-IN"/>
        </w:rPr>
        <w:t xml:space="preserve">                                              </w:t>
      </w:r>
      <w:r>
        <w:rPr>
          <w:rFonts w:eastAsia="Times New Roman" w:cs="Times New Roman" w:ascii="Times New Roman" w:hAnsi="Times New Roman"/>
          <w:b/>
          <w:bCs/>
          <w:kern w:val="2"/>
          <w:sz w:val="28"/>
          <w:szCs w:val="28"/>
          <w:lang w:bidi="hi-IN"/>
        </w:rPr>
        <w:t>Оглавление</w:t>
      </w:r>
    </w:p>
    <w:p>
      <w:pPr>
        <w:pStyle w:val="Normal"/>
        <w:widowControl w:val="false"/>
        <w:rPr>
          <w:rFonts w:ascii="Times New Roman" w:hAnsi="Times New Roman" w:eastAsia="Times New Roman" w:cs="Times New Roman"/>
          <w:b/>
          <w:b/>
          <w:bCs/>
          <w:kern w:val="2"/>
          <w:sz w:val="28"/>
          <w:szCs w:val="28"/>
          <w:lang w:bidi="hi-IN"/>
        </w:rPr>
      </w:pPr>
      <w:r>
        <w:rPr>
          <w:rFonts w:eastAsia="Times New Roman" w:cs="Times New Roman" w:ascii="Times New Roman" w:hAnsi="Times New Roman"/>
          <w:b/>
          <w:bCs/>
          <w:kern w:val="2"/>
          <w:sz w:val="28"/>
          <w:szCs w:val="28"/>
          <w:lang w:bidi="hi-IN"/>
        </w:rPr>
      </w:r>
    </w:p>
    <w:tbl>
      <w:tblPr>
        <w:tblW w:w="9416" w:type="dxa"/>
        <w:jc w:val="left"/>
        <w:tblInd w:w="0" w:type="dxa"/>
        <w:tblLayout w:type="fixed"/>
        <w:tblCellMar>
          <w:top w:w="0" w:type="dxa"/>
          <w:left w:w="0" w:type="dxa"/>
          <w:bottom w:w="0" w:type="dxa"/>
          <w:right w:w="0" w:type="dxa"/>
        </w:tblCellMar>
        <w:tblLook w:val="04a0" w:noVBand="1" w:noHBand="0" w:lastColumn="0" w:firstColumn="1" w:lastRow="0" w:firstRow="1"/>
      </w:tblPr>
      <w:tblGrid>
        <w:gridCol w:w="8684"/>
        <w:gridCol w:w="731"/>
      </w:tblGrid>
      <w:tr>
        <w:trPr/>
        <w:tc>
          <w:tcPr>
            <w:tcW w:w="8684" w:type="dxa"/>
            <w:tcBorders/>
          </w:tcPr>
          <w:p>
            <w:pPr>
              <w:pStyle w:val="Normal"/>
              <w:widowControl w:val="false"/>
              <w:spacing w:lineRule="auto" w:line="360" w:before="0" w:after="0"/>
              <w:contextualSpacing/>
              <w:rPr>
                <w:rFonts w:ascii="Times New Roman" w:hAnsi="Times New Roman" w:cs="Times New Roman"/>
              </w:rPr>
            </w:pPr>
            <w:r>
              <w:rPr>
                <w:rFonts w:eastAsia="Times New Roman" w:cs="Times New Roman" w:ascii="Times New Roman" w:hAnsi="Times New Roman"/>
                <w:bCs/>
                <w:kern w:val="2"/>
                <w:sz w:val="28"/>
                <w:szCs w:val="28"/>
                <w:lang w:bidi="hi-IN"/>
              </w:rPr>
              <w:t>1. Введение</w:t>
            </w:r>
          </w:p>
        </w:tc>
        <w:tc>
          <w:tcPr>
            <w:tcW w:w="731" w:type="dxa"/>
            <w:tcBorders/>
          </w:tcPr>
          <w:p>
            <w:pPr>
              <w:pStyle w:val="Style26"/>
              <w:widowControl w:val="false"/>
              <w:jc w:val="center"/>
              <w:rPr>
                <w:rFonts w:ascii="Times New Roman" w:hAnsi="Times New Roman" w:cs="Times New Roman"/>
              </w:rPr>
            </w:pPr>
            <w:r>
              <w:rPr>
                <w:rFonts w:cs="Times New Roman" w:ascii="Times New Roman" w:hAnsi="Times New Roman"/>
              </w:rPr>
              <w:t>3</w:t>
            </w:r>
          </w:p>
        </w:tc>
      </w:tr>
      <w:tr>
        <w:trPr/>
        <w:tc>
          <w:tcPr>
            <w:tcW w:w="8684" w:type="dxa"/>
            <w:tcBorders/>
          </w:tcPr>
          <w:p>
            <w:pPr>
              <w:pStyle w:val="Normal"/>
              <w:widowControl w:val="false"/>
              <w:shd w:val="clear" w:color="auto" w:fill="FFFFFF"/>
              <w:spacing w:lineRule="auto" w:line="360" w:before="0" w:after="0"/>
              <w:contextualSpacing/>
              <w:rPr>
                <w:rFonts w:ascii="Times New Roman" w:hAnsi="Times New Roman" w:cs="Times New Roman"/>
              </w:rPr>
            </w:pPr>
            <w:r>
              <w:rPr>
                <w:rFonts w:cs="Times New Roman" w:ascii="Times New Roman" w:hAnsi="Times New Roman"/>
                <w:sz w:val="28"/>
                <w:szCs w:val="28"/>
              </w:rPr>
              <w:t>2. Обзор литературы</w:t>
            </w:r>
          </w:p>
        </w:tc>
        <w:tc>
          <w:tcPr>
            <w:tcW w:w="731" w:type="dxa"/>
            <w:tcBorders/>
          </w:tcPr>
          <w:p>
            <w:pPr>
              <w:pStyle w:val="Style26"/>
              <w:widowControl w:val="false"/>
              <w:jc w:val="center"/>
              <w:rPr>
                <w:rFonts w:ascii="Times New Roman" w:hAnsi="Times New Roman" w:cs="Times New Roman"/>
              </w:rPr>
            </w:pPr>
            <w:r>
              <w:rPr>
                <w:rFonts w:cs="Times New Roman" w:ascii="Times New Roman" w:hAnsi="Times New Roman"/>
              </w:rPr>
              <w:t>4</w:t>
            </w:r>
          </w:p>
        </w:tc>
      </w:tr>
      <w:tr>
        <w:trPr/>
        <w:tc>
          <w:tcPr>
            <w:tcW w:w="8684" w:type="dxa"/>
            <w:tcBorders/>
          </w:tcPr>
          <w:p>
            <w:pPr>
              <w:pStyle w:val="Normal"/>
              <w:widowControl w:val="false"/>
              <w:shd w:val="clear" w:color="auto" w:fill="FFFFFF"/>
              <w:spacing w:lineRule="auto" w:line="360" w:before="0" w:after="0"/>
              <w:contextualSpacing/>
              <w:jc w:val="both"/>
              <w:rPr>
                <w:rFonts w:ascii="Times New Roman" w:hAnsi="Times New Roman" w:cs="Times New Roman"/>
              </w:rPr>
            </w:pPr>
            <w:r>
              <w:rPr>
                <w:rFonts w:eastAsia="Times New Roman" w:cs="Times New Roman" w:ascii="Times New Roman" w:hAnsi="Times New Roman"/>
                <w:color w:val="1A1A1A"/>
                <w:sz w:val="28"/>
                <w:szCs w:val="28"/>
                <w:lang w:eastAsia="ru-RU"/>
              </w:rPr>
              <w:t>3. Методика исследования</w:t>
            </w:r>
          </w:p>
        </w:tc>
        <w:tc>
          <w:tcPr>
            <w:tcW w:w="731" w:type="dxa"/>
            <w:tcBorders/>
          </w:tcPr>
          <w:p>
            <w:pPr>
              <w:pStyle w:val="Style26"/>
              <w:widowControl w:val="false"/>
              <w:jc w:val="center"/>
              <w:rPr>
                <w:rFonts w:ascii="Times New Roman" w:hAnsi="Times New Roman" w:cs="Times New Roman"/>
              </w:rPr>
            </w:pPr>
            <w:r>
              <w:rPr>
                <w:rFonts w:cs="Times New Roman" w:ascii="Times New Roman" w:hAnsi="Times New Roman"/>
              </w:rPr>
              <w:t>5</w:t>
            </w:r>
          </w:p>
        </w:tc>
      </w:tr>
      <w:tr>
        <w:trPr/>
        <w:tc>
          <w:tcPr>
            <w:tcW w:w="8684" w:type="dxa"/>
            <w:tcBorders/>
          </w:tcPr>
          <w:p>
            <w:pPr>
              <w:pStyle w:val="Normal"/>
              <w:widowControl w:val="false"/>
              <w:shd w:val="clear" w:color="auto" w:fill="FFFFFF"/>
              <w:spacing w:lineRule="auto" w:line="360" w:before="0" w:after="0"/>
              <w:contextualSpacing/>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4. Результаты исследований и их обсуждение</w:t>
            </w:r>
          </w:p>
        </w:tc>
        <w:tc>
          <w:tcPr>
            <w:tcW w:w="731" w:type="dxa"/>
            <w:tcBorders/>
          </w:tcPr>
          <w:p>
            <w:pPr>
              <w:pStyle w:val="Style26"/>
              <w:widowControl w:val="false"/>
              <w:jc w:val="center"/>
              <w:rPr>
                <w:rFonts w:ascii="Times New Roman" w:hAnsi="Times New Roman" w:cs="Times New Roman"/>
              </w:rPr>
            </w:pPr>
            <w:r>
              <w:rPr>
                <w:rFonts w:cs="Times New Roman" w:ascii="Times New Roman" w:hAnsi="Times New Roman"/>
              </w:rPr>
              <w:t>9</w:t>
            </w:r>
          </w:p>
        </w:tc>
      </w:tr>
      <w:tr>
        <w:trPr/>
        <w:tc>
          <w:tcPr>
            <w:tcW w:w="8684" w:type="dxa"/>
            <w:tcBorders/>
          </w:tcPr>
          <w:p>
            <w:pPr>
              <w:pStyle w:val="Normal"/>
              <w:widowControl w:val="false"/>
              <w:spacing w:lineRule="auto" w:line="360" w:before="0" w:after="0"/>
              <w:contextualSpacing/>
              <w:rPr>
                <w:rFonts w:ascii="Times New Roman" w:hAnsi="Times New Roman" w:cs="Times New Roman"/>
                <w:sz w:val="28"/>
                <w:szCs w:val="28"/>
              </w:rPr>
            </w:pPr>
            <w:r>
              <w:rPr>
                <w:rFonts w:eastAsia="Times New Roman" w:cs="Times New Roman" w:ascii="Times New Roman" w:hAnsi="Times New Roman"/>
                <w:bCs/>
                <w:kern w:val="2"/>
                <w:sz w:val="28"/>
                <w:szCs w:val="28"/>
                <w:lang w:bidi="hi-IN"/>
              </w:rPr>
              <w:t>5. Выводы</w:t>
            </w:r>
          </w:p>
        </w:tc>
        <w:tc>
          <w:tcPr>
            <w:tcW w:w="731" w:type="dxa"/>
            <w:tcBorders/>
          </w:tcPr>
          <w:p>
            <w:pPr>
              <w:pStyle w:val="Style26"/>
              <w:widowControl w:val="false"/>
              <w:jc w:val="center"/>
              <w:rPr>
                <w:rFonts w:ascii="Times New Roman" w:hAnsi="Times New Roman" w:cs="Times New Roman"/>
              </w:rPr>
            </w:pPr>
            <w:r>
              <w:rPr>
                <w:rFonts w:cs="Times New Roman" w:ascii="Times New Roman" w:hAnsi="Times New Roman"/>
              </w:rPr>
              <w:t>1</w:t>
            </w:r>
            <w:r>
              <w:rPr>
                <w:rFonts w:cs="Times New Roman" w:ascii="Times New Roman" w:hAnsi="Times New Roman"/>
              </w:rPr>
              <w:t>2</w:t>
            </w:r>
          </w:p>
        </w:tc>
      </w:tr>
      <w:tr>
        <w:trPr/>
        <w:tc>
          <w:tcPr>
            <w:tcW w:w="8684" w:type="dxa"/>
            <w:tcBorders/>
          </w:tcPr>
          <w:p>
            <w:pPr>
              <w:pStyle w:val="Style26"/>
              <w:widowControl w:val="false"/>
              <w:spacing w:lineRule="auto" w:line="360"/>
              <w:rPr>
                <w:rFonts w:ascii="Times New Roman" w:hAnsi="Times New Roman" w:cs="Times New Roman"/>
                <w:sz w:val="28"/>
                <w:szCs w:val="28"/>
              </w:rPr>
            </w:pPr>
            <w:r>
              <w:rPr>
                <w:rFonts w:cs="Times New Roman" w:ascii="Times New Roman" w:hAnsi="Times New Roman"/>
                <w:sz w:val="28"/>
                <w:szCs w:val="28"/>
              </w:rPr>
              <w:t>6. Список литературы</w:t>
            </w:r>
          </w:p>
        </w:tc>
        <w:tc>
          <w:tcPr>
            <w:tcW w:w="731" w:type="dxa"/>
            <w:tcBorders/>
          </w:tcPr>
          <w:p>
            <w:pPr>
              <w:pStyle w:val="Style26"/>
              <w:widowControl w:val="false"/>
              <w:jc w:val="center"/>
              <w:rPr>
                <w:rFonts w:ascii="Times New Roman" w:hAnsi="Times New Roman" w:cs="Times New Roman"/>
              </w:rPr>
            </w:pPr>
            <w:r>
              <w:rPr>
                <w:rFonts w:cs="Times New Roman" w:ascii="Times New Roman" w:hAnsi="Times New Roman"/>
              </w:rPr>
              <w:t>1</w:t>
            </w:r>
            <w:bookmarkStart w:id="0" w:name="_GoBack"/>
            <w:bookmarkEnd w:id="0"/>
            <w:r>
              <w:rPr>
                <w:rFonts w:cs="Times New Roman" w:ascii="Times New Roman" w:hAnsi="Times New Roman"/>
              </w:rPr>
              <w:t>4</w:t>
            </w:r>
          </w:p>
          <w:p>
            <w:pPr>
              <w:pStyle w:val="Style26"/>
              <w:widowControl w:val="false"/>
              <w:rPr>
                <w:rFonts w:ascii="Times New Roman" w:hAnsi="Times New Roman" w:cs="Times New Roman"/>
              </w:rPr>
            </w:pPr>
            <w:r>
              <w:rPr>
                <w:rFonts w:cs="Times New Roman" w:ascii="Times New Roman" w:hAnsi="Times New Roman"/>
              </w:rPr>
            </w:r>
          </w:p>
        </w:tc>
      </w:tr>
      <w:tr>
        <w:trPr/>
        <w:tc>
          <w:tcPr>
            <w:tcW w:w="8684" w:type="dxa"/>
            <w:tcBorders/>
          </w:tcPr>
          <w:p>
            <w:pPr>
              <w:pStyle w:val="Style26"/>
              <w:widowControl w:val="false"/>
              <w:spacing w:lineRule="auto" w:line="360"/>
              <w:rPr>
                <w:rFonts w:ascii="Times New Roman" w:hAnsi="Times New Roman" w:cs="Times New Roman"/>
                <w:sz w:val="28"/>
                <w:szCs w:val="28"/>
              </w:rPr>
            </w:pPr>
            <w:r>
              <w:rPr>
                <w:rFonts w:cs="Times New Roman" w:ascii="Times New Roman" w:hAnsi="Times New Roman"/>
                <w:sz w:val="28"/>
                <w:szCs w:val="28"/>
              </w:rPr>
              <w:t>Приложения</w:t>
            </w:r>
          </w:p>
        </w:tc>
        <w:tc>
          <w:tcPr>
            <w:tcW w:w="731" w:type="dxa"/>
            <w:tcBorders/>
          </w:tcPr>
          <w:p>
            <w:pPr>
              <w:pStyle w:val="Style26"/>
              <w:widowControl w:val="false"/>
              <w:jc w:val="center"/>
              <w:rPr>
                <w:rFonts w:ascii="Times New Roman" w:hAnsi="Times New Roman" w:cs="Times New Roman"/>
              </w:rPr>
            </w:pPr>
            <w:r>
              <w:rPr>
                <w:rFonts w:cs="Times New Roman" w:ascii="Times New Roman" w:hAnsi="Times New Roman"/>
              </w:rPr>
            </w:r>
          </w:p>
        </w:tc>
      </w:tr>
    </w:tbl>
    <w:p>
      <w:pPr>
        <w:pStyle w:val="Normal"/>
        <w:shd w:val="clear" w:color="auto" w:fill="FFFFFF"/>
        <w:spacing w:before="0" w:after="0"/>
        <w:contextualSpacing/>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sz w:val="28"/>
          <w:szCs w:val="28"/>
          <w:lang w:eastAsia="ru-RU"/>
        </w:rPr>
      </w:r>
    </w:p>
    <w:p>
      <w:pPr>
        <w:pStyle w:val="Normal"/>
        <w:widowControl w:val="false"/>
        <w:spacing w:before="0" w:after="0"/>
        <w:contextualSpacing/>
        <w:rPr>
          <w:rFonts w:ascii="Times New Roman" w:hAnsi="Times New Roman" w:eastAsia="Times New Roman" w:cs="Times New Roman"/>
          <w:bCs/>
          <w:kern w:val="2"/>
          <w:sz w:val="28"/>
          <w:szCs w:val="28"/>
          <w:lang w:bidi="hi-IN"/>
        </w:rPr>
      </w:pPr>
      <w:r>
        <w:rPr>
          <w:rFonts w:eastAsia="Times New Roman" w:cs="Times New Roman" w:ascii="Times New Roman" w:hAnsi="Times New Roman"/>
          <w:bCs/>
          <w:kern w:val="2"/>
          <w:sz w:val="28"/>
          <w:szCs w:val="28"/>
          <w:lang w:bidi="hi-IN"/>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rPr>
          <w:rFonts w:ascii="Times New Roman" w:hAnsi="Times New Roman" w:eastAsia="Times New Roman" w:cs="Times New Roman"/>
          <w:b/>
          <w:b/>
          <w:bCs/>
          <w:kern w:val="2"/>
          <w:sz w:val="28"/>
          <w:szCs w:val="28"/>
          <w:lang w:bidi="hi-IN"/>
        </w:rPr>
      </w:pPr>
      <w:r>
        <w:rPr>
          <w:rFonts w:eastAsia="Times New Roman" w:cs="Times New Roman" w:ascii="Times New Roman" w:hAnsi="Times New Roman"/>
          <w:b/>
          <w:bCs/>
          <w:kern w:val="2"/>
          <w:sz w:val="28"/>
          <w:szCs w:val="28"/>
          <w:lang w:bidi="hi-IN"/>
        </w:rPr>
      </w:r>
    </w:p>
    <w:p>
      <w:pPr>
        <w:pStyle w:val="Normal"/>
        <w:widowControl w:val="false"/>
        <w:rPr>
          <w:rFonts w:ascii="Times New Roman" w:hAnsi="Times New Roman" w:eastAsia="Times New Roman" w:cs="Times New Roman"/>
          <w:b/>
          <w:b/>
          <w:bCs/>
          <w:kern w:val="2"/>
          <w:sz w:val="28"/>
          <w:szCs w:val="28"/>
          <w:lang w:bidi="hi-IN"/>
        </w:rPr>
      </w:pPr>
      <w:r>
        <w:rPr>
          <w:rFonts w:eastAsia="Times New Roman" w:cs="Times New Roman" w:ascii="Times New Roman" w:hAnsi="Times New Roman"/>
          <w:b/>
          <w:bCs/>
          <w:kern w:val="2"/>
          <w:sz w:val="28"/>
          <w:szCs w:val="28"/>
          <w:lang w:bidi="hi-IN"/>
        </w:rPr>
      </w:r>
    </w:p>
    <w:p>
      <w:pPr>
        <w:pStyle w:val="Normal"/>
        <w:widowControl w:val="false"/>
        <w:rPr>
          <w:rFonts w:ascii="Times New Roman" w:hAnsi="Times New Roman" w:eastAsia="Times New Roman" w:cs="Times New Roman"/>
          <w:b/>
          <w:b/>
          <w:bCs/>
          <w:kern w:val="2"/>
          <w:sz w:val="28"/>
          <w:szCs w:val="28"/>
          <w:lang w:bidi="hi-IN"/>
        </w:rPr>
      </w:pPr>
      <w:r>
        <w:rPr>
          <w:rFonts w:eastAsia="Times New Roman" w:cs="Times New Roman" w:ascii="Times New Roman" w:hAnsi="Times New Roman"/>
          <w:b/>
          <w:bCs/>
          <w:kern w:val="2"/>
          <w:sz w:val="28"/>
          <w:szCs w:val="28"/>
          <w:lang w:bidi="hi-IN"/>
        </w:rPr>
        <w:t xml:space="preserve">                     </w:t>
      </w:r>
    </w:p>
    <w:p>
      <w:pPr>
        <w:pStyle w:val="Normal"/>
        <w:widowControl w:val="false"/>
        <w:rPr>
          <w:rFonts w:ascii="Times New Roman" w:hAnsi="Times New Roman" w:eastAsia="Times New Roman" w:cs="Times New Roman"/>
          <w:b/>
          <w:b/>
          <w:bCs/>
          <w:kern w:val="2"/>
          <w:sz w:val="28"/>
          <w:szCs w:val="28"/>
          <w:lang w:bidi="hi-IN"/>
        </w:rPr>
      </w:pPr>
      <w:r>
        <w:rPr>
          <w:rFonts w:eastAsia="Times New Roman" w:cs="Times New Roman" w:ascii="Times New Roman" w:hAnsi="Times New Roman"/>
          <w:b/>
          <w:bCs/>
          <w:kern w:val="2"/>
          <w:sz w:val="28"/>
          <w:szCs w:val="28"/>
          <w:lang w:bidi="hi-IN"/>
        </w:rPr>
      </w:r>
    </w:p>
    <w:p>
      <w:pPr>
        <w:pStyle w:val="Normal"/>
        <w:widowControl w:val="false"/>
        <w:rPr>
          <w:rFonts w:ascii="Times New Roman" w:hAnsi="Times New Roman" w:eastAsia="Times New Roman" w:cs="Times New Roman"/>
          <w:b/>
          <w:b/>
          <w:bCs/>
          <w:kern w:val="2"/>
          <w:sz w:val="28"/>
          <w:szCs w:val="28"/>
          <w:lang w:bidi="hi-IN"/>
        </w:rPr>
      </w:pPr>
      <w:r>
        <w:rPr>
          <w:rFonts w:eastAsia="Times New Roman" w:cs="Times New Roman" w:ascii="Times New Roman" w:hAnsi="Times New Roman"/>
          <w:b/>
          <w:bCs/>
          <w:kern w:val="2"/>
          <w:sz w:val="28"/>
          <w:szCs w:val="28"/>
          <w:lang w:bidi="hi-IN"/>
        </w:rPr>
        <w:t xml:space="preserve"> </w:t>
      </w:r>
    </w:p>
    <w:p>
      <w:pPr>
        <w:pStyle w:val="Normal"/>
        <w:widowControl w:val="false"/>
        <w:rPr>
          <w:rFonts w:ascii="Times New Roman" w:hAnsi="Times New Roman" w:eastAsia="Times New Roman" w:cs="Times New Roman"/>
          <w:b/>
          <w:b/>
          <w:bCs/>
          <w:kern w:val="2"/>
          <w:sz w:val="28"/>
          <w:szCs w:val="28"/>
          <w:lang w:bidi="hi-IN"/>
        </w:rPr>
      </w:pPr>
      <w:r>
        <w:rPr>
          <w:rFonts w:eastAsia="Times New Roman" w:cs="Times New Roman" w:ascii="Times New Roman" w:hAnsi="Times New Roman"/>
          <w:b/>
          <w:bCs/>
          <w:kern w:val="2"/>
          <w:sz w:val="28"/>
          <w:szCs w:val="28"/>
          <w:lang w:bidi="hi-IN"/>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jc w:val="center"/>
        <w:textAlignment w:val="baseline"/>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widowControl w:val="false"/>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1. Введение</w:t>
      </w:r>
    </w:p>
    <w:p>
      <w:pPr>
        <w:pStyle w:val="Normal"/>
        <w:widowControl w:val="false"/>
        <w:rPr>
          <w:rFonts w:ascii="Times New Roman" w:hAnsi="Times New Roman" w:cs="Times New Roman"/>
          <w:b/>
          <w:b/>
          <w:sz w:val="28"/>
          <w:szCs w:val="28"/>
        </w:rPr>
      </w:pPr>
      <w:r>
        <w:rPr>
          <w:rFonts w:cs="Times New Roman" w:ascii="Times New Roman" w:hAnsi="Times New Roman"/>
          <w:b/>
          <w:sz w:val="28"/>
          <w:szCs w:val="28"/>
        </w:rPr>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Город Невель находится на берегу озера Невель, которое восхищает своей красотой  местных жителей и гостей города. Но близость промышленных предприятий, транспортных магистралей и жилых домов оказывает негативное влияние на экосистему озера, так как все выбросы и стоки от них неизбежно попадают в озерную воду.</w:t>
      </w:r>
    </w:p>
    <w:p>
      <w:pPr>
        <w:pStyle w:val="Normal"/>
        <w:jc w:val="both"/>
        <w:rPr>
          <w:rFonts w:ascii="Times New Roman" w:hAnsi="Times New Roman" w:cs="Times New Roman"/>
          <w:sz w:val="28"/>
          <w:szCs w:val="28"/>
        </w:rPr>
      </w:pPr>
      <w:r>
        <w:rPr>
          <w:rFonts w:cs="Times New Roman" w:ascii="Times New Roman" w:hAnsi="Times New Roman"/>
          <w:sz w:val="28"/>
          <w:szCs w:val="28"/>
        </w:rPr>
        <w:tab/>
      </w:r>
      <w:r>
        <w:rPr>
          <w:rFonts w:cs="Times New Roman" w:ascii="Times New Roman" w:hAnsi="Times New Roman"/>
          <w:b/>
          <w:bCs/>
          <w:sz w:val="28"/>
          <w:szCs w:val="28"/>
        </w:rPr>
        <w:t>Цель работы:</w:t>
      </w:r>
      <w:r>
        <w:rPr>
          <w:rFonts w:cs="Times New Roman" w:ascii="Times New Roman" w:hAnsi="Times New Roman"/>
          <w:sz w:val="28"/>
          <w:szCs w:val="28"/>
        </w:rPr>
        <w:t xml:space="preserve"> изучить экологическое состояние воды озера Невель на участках в черте города и за городом методами биотестирования и биоиндикации</w:t>
      </w:r>
      <w:r>
        <w:rPr>
          <w:rFonts w:eastAsia="Times New Roman" w:cs="Times New Roman" w:ascii="Times New Roman" w:hAnsi="Times New Roman"/>
          <w:sz w:val="28"/>
          <w:szCs w:val="28"/>
          <w:lang w:eastAsia="ru-RU"/>
        </w:rPr>
        <w:t>.</w:t>
      </w:r>
    </w:p>
    <w:p>
      <w:pPr>
        <w:pStyle w:val="Normal"/>
        <w:jc w:val="both"/>
        <w:rPr>
          <w:rFonts w:ascii="Times New Roman" w:hAnsi="Times New Roman" w:cs="Times New Roman"/>
          <w:sz w:val="28"/>
          <w:szCs w:val="28"/>
        </w:rPr>
      </w:pPr>
      <w:r>
        <w:rPr>
          <w:rFonts w:cs="Times New Roman" w:ascii="Times New Roman" w:hAnsi="Times New Roman"/>
          <w:sz w:val="28"/>
          <w:szCs w:val="28"/>
        </w:rPr>
        <w:tab/>
      </w:r>
      <w:r>
        <w:rPr>
          <w:rFonts w:cs="Times New Roman" w:ascii="Times New Roman" w:hAnsi="Times New Roman"/>
          <w:b/>
          <w:bCs/>
          <w:sz w:val="28"/>
          <w:szCs w:val="28"/>
        </w:rPr>
        <w:t>Задачи исследования:</w:t>
      </w:r>
      <w:r>
        <w:rPr>
          <w:rFonts w:cs="Times New Roman" w:ascii="Times New Roman" w:hAnsi="Times New Roman"/>
          <w:sz w:val="28"/>
          <w:szCs w:val="28"/>
        </w:rPr>
        <w:t xml:space="preserve"> </w:t>
      </w:r>
    </w:p>
    <w:p>
      <w:pPr>
        <w:pStyle w:val="Normal"/>
        <w:jc w:val="both"/>
        <w:rPr>
          <w:rFonts w:ascii="Times New Roman" w:hAnsi="Times New Roman" w:cs="Times New Roman"/>
          <w:sz w:val="28"/>
          <w:szCs w:val="28"/>
        </w:rPr>
      </w:pPr>
      <w:r>
        <w:rPr>
          <w:rFonts w:cs="Times New Roman" w:ascii="Times New Roman" w:hAnsi="Times New Roman"/>
          <w:sz w:val="28"/>
          <w:szCs w:val="28"/>
        </w:rPr>
        <w:tab/>
        <w:t>1. Определить степень загрязнённости воды озера Невель на определённых участках;</w:t>
      </w:r>
    </w:p>
    <w:p>
      <w:pPr>
        <w:pStyle w:val="Normal"/>
        <w:jc w:val="both"/>
        <w:rPr>
          <w:rFonts w:ascii="Times New Roman" w:hAnsi="Times New Roman" w:cs="Times New Roman"/>
          <w:sz w:val="28"/>
          <w:szCs w:val="28"/>
        </w:rPr>
      </w:pPr>
      <w:r>
        <w:rPr>
          <w:rFonts w:cs="Times New Roman" w:ascii="Times New Roman" w:hAnsi="Times New Roman"/>
          <w:sz w:val="28"/>
          <w:szCs w:val="28"/>
        </w:rPr>
        <w:tab/>
        <w:t>2. Выявить возможные причины загрязнения воды;</w:t>
      </w:r>
    </w:p>
    <w:p>
      <w:pPr>
        <w:pStyle w:val="Normal"/>
        <w:jc w:val="both"/>
        <w:rPr>
          <w:rFonts w:ascii="Times New Roman" w:hAnsi="Times New Roman" w:cs="Times New Roman"/>
          <w:sz w:val="28"/>
          <w:szCs w:val="28"/>
        </w:rPr>
      </w:pPr>
      <w:r>
        <w:rPr>
          <w:rFonts w:cs="Times New Roman" w:ascii="Times New Roman" w:hAnsi="Times New Roman"/>
          <w:sz w:val="28"/>
          <w:szCs w:val="28"/>
        </w:rPr>
        <w:tab/>
        <w:t>3. Обозначить возможный комплекс мероприятий  по восстановлению экосистемы озера.</w:t>
      </w:r>
    </w:p>
    <w:p>
      <w:pPr>
        <w:pStyle w:val="Normal"/>
        <w:ind w:firstLine="708"/>
        <w:jc w:val="both"/>
        <w:rPr>
          <w:rFonts w:ascii="Times New Roman" w:hAnsi="Times New Roman" w:cs="Times New Roman"/>
        </w:rPr>
      </w:pPr>
      <w:r>
        <w:rPr>
          <w:rStyle w:val="W"/>
          <w:rFonts w:eastAsia="Times New Roman" w:cs="Times New Roman" w:ascii="Times New Roman" w:hAnsi="Times New Roman"/>
          <w:b/>
          <w:bCs/>
          <w:sz w:val="28"/>
          <w:szCs w:val="28"/>
          <w:lang w:eastAsia="ru-RU"/>
        </w:rPr>
        <w:t>Объект исследования:</w:t>
      </w:r>
      <w:r>
        <w:rPr>
          <w:rStyle w:val="W"/>
          <w:rFonts w:eastAsia="Times New Roman" w:cs="Times New Roman" w:ascii="Times New Roman" w:hAnsi="Times New Roman"/>
          <w:bCs/>
          <w:sz w:val="28"/>
          <w:szCs w:val="28"/>
          <w:lang w:eastAsia="ru-RU"/>
        </w:rPr>
        <w:t xml:space="preserve"> вода озе</w:t>
      </w:r>
      <w:r>
        <w:rPr>
          <w:rFonts w:cs="Times New Roman" w:ascii="Times New Roman" w:hAnsi="Times New Roman"/>
          <w:sz w:val="28"/>
          <w:szCs w:val="28"/>
        </w:rPr>
        <w:t>ра Невель на опытных участках.</w:t>
      </w:r>
    </w:p>
    <w:p>
      <w:pPr>
        <w:pStyle w:val="Normal"/>
        <w:jc w:val="both"/>
        <w:rPr>
          <w:rFonts w:ascii="Times New Roman" w:hAnsi="Times New Roman" w:cs="Times New Roman"/>
          <w:sz w:val="28"/>
          <w:szCs w:val="28"/>
        </w:rPr>
      </w:pPr>
      <w:r>
        <w:rPr>
          <w:rFonts w:cs="Times New Roman" w:ascii="Times New Roman" w:hAnsi="Times New Roman"/>
          <w:sz w:val="28"/>
          <w:szCs w:val="28"/>
        </w:rPr>
        <w:tab/>
      </w:r>
      <w:r>
        <w:rPr>
          <w:rFonts w:cs="Times New Roman" w:ascii="Times New Roman" w:hAnsi="Times New Roman"/>
          <w:b/>
          <w:sz w:val="28"/>
          <w:szCs w:val="28"/>
        </w:rPr>
        <w:t>Предмет исследования:</w:t>
      </w:r>
      <w:r>
        <w:rPr>
          <w:rFonts w:cs="Times New Roman" w:ascii="Times New Roman" w:hAnsi="Times New Roman"/>
          <w:sz w:val="28"/>
          <w:szCs w:val="28"/>
        </w:rPr>
        <w:t xml:space="preserve"> степень и характер загрязнения  воды озера Невель на опытных  участках.</w:t>
      </w:r>
    </w:p>
    <w:p>
      <w:pPr>
        <w:pStyle w:val="Normal"/>
        <w:spacing w:before="0" w:after="0"/>
        <w:ind w:firstLine="708"/>
        <w:contextualSpacing/>
        <w:jc w:val="both"/>
        <w:rPr>
          <w:rFonts w:ascii="Times New Roman" w:hAnsi="Times New Roman" w:cs="Times New Roman"/>
          <w:sz w:val="28"/>
          <w:szCs w:val="28"/>
        </w:rPr>
      </w:pPr>
      <w:r>
        <w:rPr>
          <w:rFonts w:eastAsia="Calibri" w:cs="Times New Roman" w:ascii="Times New Roman" w:hAnsi="Times New Roman"/>
          <w:b/>
          <w:sz w:val="28"/>
          <w:szCs w:val="28"/>
        </w:rPr>
        <w:t>Методы исследования</w:t>
      </w:r>
      <w:r>
        <w:rPr>
          <w:rFonts w:eastAsia="Calibri" w:cs="Times New Roman" w:ascii="Times New Roman" w:hAnsi="Times New Roman"/>
          <w:sz w:val="28"/>
          <w:szCs w:val="28"/>
        </w:rPr>
        <w:t>: теоретический, измерение,</w:t>
      </w:r>
      <w:r>
        <w:rPr>
          <w:rFonts w:cs="Times New Roman" w:ascii="Times New Roman" w:hAnsi="Times New Roman"/>
          <w:sz w:val="28"/>
          <w:szCs w:val="28"/>
        </w:rPr>
        <w:t xml:space="preserve"> биотестирование и биоиндикация,</w:t>
      </w:r>
      <w:r>
        <w:rPr>
          <w:rFonts w:eastAsia="Calibri" w:cs="Times New Roman" w:ascii="Times New Roman" w:hAnsi="Times New Roman"/>
          <w:sz w:val="28"/>
          <w:szCs w:val="28"/>
        </w:rPr>
        <w:t xml:space="preserve"> анализ, экспериментальный.</w:t>
      </w:r>
    </w:p>
    <w:p>
      <w:pPr>
        <w:pStyle w:val="Normal"/>
        <w:spacing w:before="0" w:after="0"/>
        <w:ind w:firstLine="708"/>
        <w:contextualSpacing/>
        <w:jc w:val="both"/>
        <w:rPr>
          <w:rFonts w:ascii="Times New Roman" w:hAnsi="Times New Roman" w:cs="Times New Roman"/>
          <w:sz w:val="28"/>
          <w:szCs w:val="28"/>
        </w:rPr>
      </w:pPr>
      <w:r>
        <w:rPr>
          <w:rFonts w:eastAsia="Calibri" w:cs="Times New Roman" w:ascii="Times New Roman" w:hAnsi="Times New Roman"/>
          <w:b/>
          <w:sz w:val="28"/>
          <w:szCs w:val="28"/>
        </w:rPr>
        <w:t xml:space="preserve">Гипотеза исследования: </w:t>
      </w:r>
      <w:r>
        <w:rPr>
          <w:rFonts w:eastAsia="Calibri" w:cs="Times New Roman" w:ascii="Times New Roman" w:hAnsi="Times New Roman"/>
          <w:sz w:val="28"/>
          <w:szCs w:val="28"/>
          <w:lang w:eastAsia="ru-RU"/>
        </w:rPr>
        <w:t>сбросы промышленной и жилой зон города, а также с автомобильных дорог, негативно влияют на экологическое состояние воды озера Невель.</w:t>
      </w:r>
    </w:p>
    <w:p>
      <w:pPr>
        <w:pStyle w:val="Normal"/>
        <w:spacing w:before="0" w:after="0"/>
        <w:ind w:firstLine="708"/>
        <w:contextualSpacing/>
        <w:jc w:val="both"/>
        <w:rPr>
          <w:rFonts w:ascii="Times New Roman" w:hAnsi="Times New Roman" w:cs="Times New Roman"/>
          <w:sz w:val="28"/>
          <w:szCs w:val="28"/>
        </w:rPr>
      </w:pPr>
      <w:r>
        <w:rPr>
          <w:rFonts w:eastAsia="Calibri" w:cs="Times New Roman" w:ascii="Times New Roman" w:hAnsi="Times New Roman"/>
          <w:b/>
          <w:sz w:val="28"/>
          <w:szCs w:val="28"/>
        </w:rPr>
        <w:t>Практическая значимость</w:t>
      </w:r>
      <w:r>
        <w:rPr>
          <w:rFonts w:eastAsia="Calibri" w:cs="Times New Roman" w:ascii="Times New Roman" w:hAnsi="Times New Roman"/>
          <w:sz w:val="28"/>
          <w:szCs w:val="28"/>
        </w:rPr>
        <w:t xml:space="preserve">: результаты исследования дают возможность  местным эковолонтёрам обратить внимание общественности и администрации города Невеля на имеющуюся проблему и согласовать действия  по охране экосистемы озера Невель. </w:t>
      </w:r>
    </w:p>
    <w:p>
      <w:pPr>
        <w:pStyle w:val="Normal"/>
        <w:spacing w:before="0" w:after="0"/>
        <w:ind w:firstLine="708"/>
        <w:contextualSpacing/>
        <w:jc w:val="both"/>
        <w:rPr>
          <w:rFonts w:ascii="Times New Roman" w:hAnsi="Times New Roman" w:cs="Times New Roman"/>
          <w:sz w:val="28"/>
          <w:szCs w:val="28"/>
        </w:rPr>
      </w:pPr>
      <w:r>
        <w:rPr>
          <w:rFonts w:eastAsia="Calibri" w:cs="Times New Roman" w:ascii="Times New Roman" w:hAnsi="Times New Roman"/>
          <w:b/>
          <w:sz w:val="28"/>
          <w:szCs w:val="28"/>
        </w:rPr>
        <w:t xml:space="preserve">Актуальность исследования: </w:t>
      </w:r>
      <w:r>
        <w:rPr>
          <w:rFonts w:eastAsia="Calibri" w:cs="Times New Roman" w:ascii="Times New Roman" w:hAnsi="Times New Roman"/>
          <w:sz w:val="28"/>
          <w:szCs w:val="28"/>
        </w:rPr>
        <w:t>данное исследование позволяет получить достоверную картину влияния загрязняющих веществ на воды озера Невель  и даёт возможность наметить пути решения  экологических проблем.</w:t>
      </w:r>
    </w:p>
    <w:p>
      <w:pPr>
        <w:pStyle w:val="Normal"/>
        <w:spacing w:before="0" w:after="0"/>
        <w:ind w:firstLine="708"/>
        <w:contextualSpacing/>
        <w:jc w:val="both"/>
        <w:rPr>
          <w:rFonts w:ascii="Times New Roman" w:hAnsi="Times New Roman" w:cs="Times New Roman"/>
          <w:sz w:val="28"/>
          <w:szCs w:val="28"/>
        </w:rPr>
      </w:pPr>
      <w:r>
        <w:rPr>
          <w:rFonts w:eastAsia="Calibri" w:cs="Times New Roman" w:ascii="Times New Roman" w:hAnsi="Times New Roman"/>
          <w:b/>
          <w:bCs/>
          <w:sz w:val="28"/>
          <w:szCs w:val="28"/>
        </w:rPr>
        <w:t>Сроки проведения работ:</w:t>
      </w:r>
      <w:r>
        <w:rPr>
          <w:rFonts w:eastAsia="Calibri" w:cs="Times New Roman" w:ascii="Times New Roman" w:hAnsi="Times New Roman"/>
          <w:sz w:val="28"/>
          <w:szCs w:val="28"/>
        </w:rPr>
        <w:t xml:space="preserve"> исследование воды на прибрежных участках озера Невель проходило с 05.07.2022г. по 15.07.2022г., обработка результатов  исследования проведена 09.2023 г.</w:t>
      </w:r>
    </w:p>
    <w:p>
      <w:pPr>
        <w:pStyle w:val="Normal"/>
        <w:spacing w:before="0" w:after="0"/>
        <w:ind w:firstLine="708"/>
        <w:contextualSpacing/>
        <w:jc w:val="both"/>
        <w:rPr>
          <w:rFonts w:ascii="Times New Roman" w:hAnsi="Times New Roman" w:cs="Times New Roman"/>
          <w:b/>
          <w:b/>
          <w:bCs/>
          <w:sz w:val="28"/>
          <w:szCs w:val="28"/>
        </w:rPr>
      </w:pPr>
      <w:r>
        <w:rPr>
          <w:rFonts w:eastAsia="Calibri" w:cs="Times New Roman" w:ascii="Times New Roman" w:hAnsi="Times New Roman"/>
          <w:b/>
          <w:bCs/>
          <w:sz w:val="28"/>
          <w:szCs w:val="28"/>
        </w:rPr>
        <w:t>Физико-географическая характеристика района исследования:</w:t>
        <w:tab/>
      </w:r>
      <w:r>
        <w:rPr>
          <w:rFonts w:eastAsia="Calibri" w:cs="Times New Roman" w:ascii="Times New Roman" w:hAnsi="Times New Roman"/>
          <w:sz w:val="28"/>
          <w:szCs w:val="28"/>
        </w:rPr>
        <w:t xml:space="preserve">Озеро Невель — озеро в Невельском районе на юге Псковской области. Его площадь составляет 14,9  </w:t>
      </w:r>
      <w:r>
        <w:rPr>
          <w:rFonts w:eastAsia="Calibri" w:cs="Times New Roman" w:ascii="Times New Roman" w:hAnsi="Times New Roman"/>
          <w:color w:val="202122"/>
          <w:sz w:val="28"/>
          <w:szCs w:val="28"/>
        </w:rPr>
        <w:t xml:space="preserve">км², </w:t>
      </w:r>
      <w:r>
        <w:rPr>
          <w:rFonts w:eastAsia="Calibri" w:cs="Times New Roman" w:ascii="Times New Roman" w:hAnsi="Times New Roman"/>
          <w:bCs/>
          <w:color w:val="202122"/>
          <w:sz w:val="28"/>
          <w:szCs w:val="28"/>
        </w:rPr>
        <w:t xml:space="preserve">максимальная глубина достигает 4,5 м. Площадь водосборного бассейна — 441 км². Высота над уровнем моря - 152,7 м. </w:t>
      </w:r>
    </w:p>
    <w:p>
      <w:pPr>
        <w:pStyle w:val="Normal"/>
        <w:spacing w:before="0" w:after="0"/>
        <w:ind w:firstLine="708"/>
        <w:contextualSpacing/>
        <w:jc w:val="both"/>
        <w:rPr>
          <w:rFonts w:ascii="Times New Roman" w:hAnsi="Times New Roman" w:eastAsia="Calibri" w:cs="Times New Roman"/>
          <w:bCs/>
          <w:color w:val="202122"/>
          <w:sz w:val="28"/>
          <w:szCs w:val="28"/>
        </w:rPr>
      </w:pPr>
      <w:r>
        <w:rPr>
          <w:rFonts w:eastAsia="Calibri" w:cs="Times New Roman" w:ascii="Times New Roman" w:hAnsi="Times New Roman"/>
          <w:bCs/>
          <w:color w:val="202122"/>
          <w:sz w:val="28"/>
          <w:szCs w:val="28"/>
        </w:rPr>
        <w:t>Озеро является проточным, из него вытекает река Еменка, впадающая в реку Ловать.  На берегу озера расположен город Невель [13].</w:t>
      </w:r>
    </w:p>
    <w:p>
      <w:pPr>
        <w:pStyle w:val="Normal"/>
        <w:spacing w:before="0" w:after="0"/>
        <w:ind w:firstLine="708"/>
        <w:contextual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hd w:val="clear" w:color="auto" w:fill="FFFFFF"/>
        <w:rPr>
          <w:rFonts w:ascii="Times New Roman" w:hAnsi="Times New Roman" w:cs="Times New Roman"/>
        </w:rPr>
      </w:pPr>
      <w:r>
        <w:rPr>
          <w:rFonts w:cs="Times New Roman" w:ascii="Times New Roman" w:hAnsi="Times New Roman"/>
          <w:b/>
          <w:bCs/>
          <w:sz w:val="28"/>
          <w:szCs w:val="28"/>
        </w:rPr>
        <w:t xml:space="preserve">        </w:t>
      </w:r>
      <w:r>
        <w:rPr>
          <w:rFonts w:cs="Times New Roman" w:ascii="Times New Roman" w:hAnsi="Times New Roman"/>
          <w:b/>
          <w:bCs/>
          <w:sz w:val="28"/>
          <w:szCs w:val="28"/>
        </w:rPr>
        <w:t>2. Обзор литературы</w:t>
      </w:r>
    </w:p>
    <w:p>
      <w:pPr>
        <w:pStyle w:val="Normal"/>
        <w:shd w:val="clear" w:color="auto" w:fill="FFFFFF"/>
        <w:jc w:val="both"/>
        <w:rPr>
          <w:rFonts w:ascii="Times New Roman" w:hAnsi="Times New Roman" w:cs="Times New Roman"/>
        </w:rPr>
      </w:pPr>
      <w:r>
        <w:rPr>
          <w:rFonts w:eastAsia="Times New Roman" w:cs="Times New Roman" w:ascii="Times New Roman" w:hAnsi="Times New Roman"/>
          <w:color w:val="1A1A1A"/>
          <w:sz w:val="28"/>
          <w:szCs w:val="28"/>
          <w:lang w:eastAsia="ru-RU"/>
        </w:rPr>
        <w:tab/>
        <w:t>Гидробиологические методы оценки качества вод имеют длительную историю. Ещё в 1850 году в Англии была опубликована монография              А. Хессела, в которой автор давал оценку качества воды по организмам фитопланктона и зоопланктона</w:t>
      </w:r>
      <w:r>
        <w:rPr>
          <w:rFonts w:cs="Times New Roman" w:ascii="Times New Roman" w:hAnsi="Times New Roman"/>
          <w:sz w:val="28"/>
          <w:szCs w:val="28"/>
        </w:rPr>
        <w:t>[1].</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В 1875 г. выходит работа Фердинанда Кона, в которой была обнаружена зависимость видового состав гидробионтов от химического состава вод и, прежде всего, от растворенных в воде органических       веществ </w:t>
      </w:r>
      <w:r>
        <w:rPr>
          <w:rFonts w:cs="Times New Roman" w:ascii="Times New Roman" w:hAnsi="Times New Roman"/>
          <w:sz w:val="28"/>
          <w:szCs w:val="28"/>
        </w:rPr>
        <w:t>[2].</w:t>
      </w:r>
      <w:r>
        <w:rPr>
          <w:rFonts w:eastAsia="Times New Roman" w:cs="Times New Roman" w:ascii="Times New Roman" w:hAnsi="Times New Roman"/>
          <w:color w:val="1A1A1A"/>
          <w:sz w:val="28"/>
          <w:szCs w:val="28"/>
          <w:lang w:eastAsia="ru-RU"/>
        </w:rPr>
        <w:t xml:space="preserve"> </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Следующей вехой развития гидробиологических методов стали исследования </w:t>
      </w:r>
      <w:r>
        <w:rPr>
          <w:rFonts w:cs="Times New Roman" w:ascii="Times New Roman" w:hAnsi="Times New Roman"/>
          <w:bCs/>
          <w:color w:val="333333"/>
          <w:sz w:val="28"/>
          <w:szCs w:val="28"/>
          <w:shd w:fill="FFFFFF" w:val="clear"/>
        </w:rPr>
        <w:t>Карла Кристиана</w:t>
      </w:r>
      <w:r>
        <w:rPr>
          <w:rFonts w:cs="Times New Roman" w:ascii="Times New Roman" w:hAnsi="Times New Roman"/>
          <w:b/>
          <w:bCs/>
          <w:color w:val="333333"/>
          <w:sz w:val="28"/>
          <w:szCs w:val="28"/>
          <w:shd w:fill="FFFFFF" w:val="clear"/>
        </w:rPr>
        <w:t xml:space="preserve"> </w:t>
      </w:r>
      <w:r>
        <w:rPr>
          <w:rFonts w:eastAsia="Times New Roman" w:cs="Times New Roman" w:ascii="Times New Roman" w:hAnsi="Times New Roman"/>
          <w:color w:val="1A1A1A"/>
          <w:sz w:val="28"/>
          <w:szCs w:val="28"/>
          <w:lang w:eastAsia="ru-RU"/>
        </w:rPr>
        <w:t xml:space="preserve">Меца, который в 1898 г. предложил списки гидробионтов-антагонистов, встречающихся только в сильно загрязненных водах, а также списки «промежуточных» форм, характеризующих различные уровни загрязнения </w:t>
      </w:r>
      <w:r>
        <w:rPr>
          <w:rFonts w:cs="Times New Roman" w:ascii="Times New Roman" w:hAnsi="Times New Roman"/>
          <w:sz w:val="28"/>
          <w:szCs w:val="28"/>
        </w:rPr>
        <w:t>[3]</w:t>
      </w:r>
      <w:r>
        <w:rPr>
          <w:rFonts w:eastAsia="Times New Roman" w:cs="Times New Roman" w:ascii="Times New Roman" w:hAnsi="Times New Roman"/>
          <w:color w:val="1A1A1A"/>
          <w:sz w:val="28"/>
          <w:szCs w:val="28"/>
          <w:lang w:eastAsia="ru-RU"/>
        </w:rPr>
        <w:t>.</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Работа над составлением списков видов-индикаторов сапробности на этом не остановилась, ее вели как российские, так и зарубежные ученые. Большой вклад в дальнейшее развитие и обоснование системы сапробности внесли ученые Г.И. Долгов, Я.Я. Никитинский, А.С. Разумов,                       Н.С. Строганов.</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 </w:t>
      </w:r>
      <w:r>
        <w:rPr>
          <w:rFonts w:eastAsia="Times New Roman" w:cs="Times New Roman" w:ascii="Times New Roman" w:hAnsi="Times New Roman"/>
          <w:color w:val="1A1A1A"/>
          <w:sz w:val="28"/>
          <w:szCs w:val="28"/>
          <w:lang w:eastAsia="ru-RU"/>
        </w:rPr>
        <w:t>Существенные уточнения списков провели М. Зелинка и П. Марван (Zelinka, Marvan, 1961), М. Зелинка и В. Сладечек (Zelinka, Sladecek, 1964), В. Сладечек (Sladecek, 1969, 1973), А.В. Макрушин (1974). Работа по определению индикаторной значимости организмов в системе сапробности продолжается и в настоящее время.</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Зуева Н.В. и Алексеев Д.К. утверждают, что для определения степени загрязненности водоема, а также при оценке качества воды, употребляемой для различных целей, применяют физико-химические и биологические методы. Каждая группа методов обладает своими преимуществами и недостатками[1].</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Чуйко Г. М. определяет биодиагностику, как использование ответных реакций биологических систем на разных уровнях их организации на действие природных и антропогенных факторов для оценки состояния биоты и качества среды её обитания [4]. Биодиагностические методы, в зависимости от уровня биологической организации ответов, в свою очередь, включают биомаркирование, биотестирование и биоиндикацию.</w:t>
      </w:r>
    </w:p>
    <w:p>
      <w:pPr>
        <w:pStyle w:val="Normal"/>
        <w:shd w:val="clear" w:color="auto" w:fill="FFFFFF"/>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 </w:t>
      </w:r>
      <w:r>
        <w:rPr>
          <w:rFonts w:eastAsia="Times New Roman" w:cs="Times New Roman" w:ascii="Times New Roman" w:hAnsi="Times New Roman"/>
          <w:color w:val="1A1A1A"/>
          <w:sz w:val="28"/>
          <w:szCs w:val="28"/>
          <w:lang w:eastAsia="ru-RU"/>
        </w:rPr>
        <w:tab/>
        <w:t xml:space="preserve"> Бахвалова Е.В. указывает, что для контроля над состоянием водоемов целесообразно предложить в качестве индикатора макрофиты и их сообщества. Макрофитная растительность является одной из самых перспективных групп для фитомониторинга (оценки природной среды по ботаническим признакам)</w:t>
      </w:r>
      <w:r>
        <w:rPr>
          <w:rFonts w:cs="Times New Roman" w:ascii="Times New Roman" w:hAnsi="Times New Roman"/>
          <w:sz w:val="28"/>
          <w:szCs w:val="28"/>
        </w:rPr>
        <w:t xml:space="preserve"> [5]</w:t>
      </w:r>
      <w:r>
        <w:rPr>
          <w:rFonts w:eastAsia="Times New Roman" w:cs="Times New Roman" w:ascii="Times New Roman" w:hAnsi="Times New Roman"/>
          <w:color w:val="1A1A1A"/>
          <w:sz w:val="28"/>
          <w:szCs w:val="28"/>
          <w:lang w:eastAsia="ru-RU"/>
        </w:rPr>
        <w:t>.</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Власов Б.П., Гигевич Г.С.  указывают, что </w:t>
      </w:r>
      <w:r>
        <w:rPr>
          <w:rFonts w:eastAsia="Times New Roman" w:cs="Times New Roman" w:ascii="Times New Roman" w:hAnsi="Times New Roman"/>
          <w:color w:val="000000"/>
          <w:sz w:val="28"/>
          <w:szCs w:val="28"/>
          <w:lang w:eastAsia="ru-RU"/>
        </w:rPr>
        <w:t xml:space="preserve">погруженная растительность наиболее полно характеризует состояние гидроэкосистемы и изменения, происходящие в ней;  </w:t>
      </w:r>
      <w:r>
        <w:rPr>
          <w:rFonts w:eastAsia="Times New Roman" w:cs="Times New Roman" w:ascii="Times New Roman" w:hAnsi="Times New Roman"/>
          <w:color w:val="1A1A1A"/>
          <w:sz w:val="28"/>
          <w:szCs w:val="28"/>
          <w:lang w:eastAsia="ru-RU"/>
        </w:rPr>
        <w:t xml:space="preserve"> </w:t>
      </w:r>
      <w:r>
        <w:rPr>
          <w:rFonts w:eastAsia="Times New Roman" w:cs="Times New Roman" w:ascii="Times New Roman" w:hAnsi="Times New Roman"/>
          <w:color w:val="000000"/>
          <w:sz w:val="28"/>
          <w:szCs w:val="28"/>
          <w:lang w:eastAsia="ru-RU"/>
        </w:rPr>
        <w:t>биомасса гидрофитов и индекс сапробности, рассчитанный по индикаторному весу погруженных гидрофитов, могут служить показателями качества воды и степени эвтрофирования озер</w:t>
      </w:r>
      <w:r>
        <w:rPr>
          <w:rFonts w:cs="Times New Roman" w:ascii="Times New Roman" w:hAnsi="Times New Roman"/>
          <w:sz w:val="28"/>
          <w:szCs w:val="28"/>
        </w:rPr>
        <w:t>[6]</w:t>
      </w:r>
      <w:r>
        <w:rPr>
          <w:rFonts w:eastAsia="Times New Roman" w:cs="Times New Roman" w:ascii="Times New Roman" w:hAnsi="Times New Roman"/>
          <w:color w:val="1A1A1A"/>
          <w:sz w:val="28"/>
          <w:szCs w:val="28"/>
          <w:lang w:eastAsia="ru-RU"/>
        </w:rPr>
        <w:t>.</w:t>
      </w:r>
    </w:p>
    <w:p>
      <w:pPr>
        <w:pStyle w:val="Normal"/>
        <w:shd w:val="clear" w:color="auto" w:fill="FFFFFF"/>
        <w:jc w:val="center"/>
        <w:rPr>
          <w:rFonts w:ascii="Times New Roman" w:hAnsi="Times New Roman" w:eastAsia="Times New Roman" w:cs="Times New Roman"/>
          <w:b/>
          <w:b/>
          <w:color w:val="1A1A1A"/>
          <w:lang w:eastAsia="ru-RU"/>
        </w:rPr>
      </w:pPr>
      <w:r>
        <w:rPr>
          <w:rFonts w:eastAsia="Times New Roman" w:cs="Times New Roman" w:ascii="Times New Roman" w:hAnsi="Times New Roman"/>
          <w:b/>
          <w:color w:val="1A1A1A"/>
          <w:lang w:eastAsia="ru-RU"/>
        </w:rPr>
      </w:r>
    </w:p>
    <w:p>
      <w:pPr>
        <w:pStyle w:val="Normal"/>
        <w:shd w:val="clear" w:color="auto" w:fill="FFFFFF"/>
        <w:jc w:val="center"/>
        <w:rPr>
          <w:rFonts w:ascii="Times New Roman" w:hAnsi="Times New Roman" w:cs="Times New Roman"/>
          <w:sz w:val="28"/>
          <w:szCs w:val="28"/>
        </w:rPr>
      </w:pPr>
      <w:r>
        <w:rPr>
          <w:rFonts w:eastAsia="Times New Roman" w:cs="Times New Roman" w:ascii="Times New Roman" w:hAnsi="Times New Roman"/>
          <w:b/>
          <w:color w:val="1A1A1A"/>
          <w:sz w:val="28"/>
          <w:szCs w:val="28"/>
          <w:lang w:eastAsia="ru-RU"/>
        </w:rPr>
        <w:t>3. Методика исследования</w:t>
      </w:r>
    </w:p>
    <w:p>
      <w:pPr>
        <w:pStyle w:val="Normal"/>
        <w:shd w:val="clear" w:color="auto" w:fill="FFFFFF"/>
        <w:jc w:val="center"/>
        <w:rPr>
          <w:rFonts w:ascii="Times New Roman" w:hAnsi="Times New Roman" w:eastAsia="Times New Roman" w:cs="Times New Roman"/>
          <w:b/>
          <w:b/>
          <w:color w:val="1A1A1A"/>
          <w:lang w:eastAsia="ru-RU"/>
        </w:rPr>
      </w:pPr>
      <w:r>
        <w:rPr>
          <w:rFonts w:eastAsia="Times New Roman" w:cs="Times New Roman" w:ascii="Times New Roman" w:hAnsi="Times New Roman"/>
          <w:b/>
          <w:color w:val="1A1A1A"/>
          <w:lang w:eastAsia="ru-RU"/>
        </w:rPr>
      </w:r>
    </w:p>
    <w:p>
      <w:pPr>
        <w:pStyle w:val="NormalWeb"/>
        <w:shd w:val="clear" w:color="auto" w:fill="FFFFFF"/>
        <w:rPr/>
      </w:pPr>
      <w:r>
        <w:rPr>
          <w:rStyle w:val="W"/>
          <w:b/>
          <w:bCs/>
          <w:sz w:val="28"/>
          <w:szCs w:val="28"/>
        </w:rPr>
        <w:tab/>
        <w:t>3.1. Определение участков и отбор проб</w:t>
      </w:r>
    </w:p>
    <w:p>
      <w:pPr>
        <w:pStyle w:val="NormalWeb"/>
        <w:shd w:val="clear" w:color="auto" w:fill="FFFFFF"/>
        <w:jc w:val="both"/>
        <w:rPr>
          <w:sz w:val="28"/>
          <w:szCs w:val="28"/>
        </w:rPr>
      </w:pPr>
      <w:r>
        <w:rPr>
          <w:rStyle w:val="W"/>
          <w:sz w:val="28"/>
          <w:szCs w:val="28"/>
        </w:rPr>
        <w:tab/>
        <w:t>Пробы воды отбирались в соответствии с рекомендациями по отбору проб по А.Г.Озерову [7].</w:t>
      </w:r>
    </w:p>
    <w:p>
      <w:pPr>
        <w:pStyle w:val="NormalWeb"/>
        <w:shd w:val="clear" w:color="auto" w:fill="FFFFFF"/>
        <w:jc w:val="both"/>
        <w:rPr>
          <w:sz w:val="28"/>
          <w:szCs w:val="28"/>
        </w:rPr>
      </w:pPr>
      <w:r>
        <w:rPr>
          <w:rStyle w:val="W"/>
          <w:sz w:val="28"/>
          <w:szCs w:val="28"/>
        </w:rPr>
        <w:tab/>
        <w:t>Координаты участков определяли с помощью GPS-навигатора.</w:t>
      </w:r>
    </w:p>
    <w:p>
      <w:pPr>
        <w:pStyle w:val="Normal"/>
        <w:spacing w:beforeAutospacing="0" w:before="0" w:afterAutospacing="0" w:after="0"/>
        <w:ind w:firstLine="708"/>
        <w:contextualSpacing/>
        <w:jc w:val="both"/>
        <w:rPr>
          <w:rFonts w:ascii="Times New Roman" w:hAnsi="Times New Roman" w:cs="Times New Roman"/>
          <w:sz w:val="28"/>
          <w:szCs w:val="28"/>
        </w:rPr>
      </w:pPr>
      <w:r>
        <w:rPr>
          <w:rFonts w:cs="Times New Roman" w:ascii="Times New Roman" w:hAnsi="Times New Roman"/>
          <w:sz w:val="28"/>
          <w:szCs w:val="28"/>
        </w:rPr>
        <w:t>Исследование воды на прибрежных участках озера Невель проходило с 05.07.2022г. по 15.07.2022г.</w:t>
      </w:r>
    </w:p>
    <w:p>
      <w:pPr>
        <w:pStyle w:val="Normal"/>
        <w:spacing w:before="0" w:after="0"/>
        <w:ind w:firstLine="708"/>
        <w:contextualSpacing/>
        <w:jc w:val="both"/>
        <w:rPr>
          <w:rFonts w:ascii="Times New Roman" w:hAnsi="Times New Roman" w:cs="Times New Roman"/>
          <w:sz w:val="28"/>
          <w:szCs w:val="28"/>
        </w:rPr>
      </w:pPr>
      <w:r>
        <w:rPr>
          <w:rFonts w:cs="Times New Roman" w:ascii="Times New Roman" w:hAnsi="Times New Roman"/>
          <w:spacing w:val="2"/>
          <w:sz w:val="28"/>
          <w:szCs w:val="28"/>
          <w:u w:val="single"/>
        </w:rPr>
        <w:t>Номер пункта наблюдений</w:t>
      </w:r>
      <w:r>
        <w:rPr>
          <w:rFonts w:cs="Times New Roman" w:ascii="Times New Roman" w:hAnsi="Times New Roman"/>
          <w:spacing w:val="2"/>
          <w:sz w:val="28"/>
          <w:szCs w:val="28"/>
        </w:rPr>
        <w:t xml:space="preserve"> /участка/: </w:t>
      </w:r>
    </w:p>
    <w:p>
      <w:pPr>
        <w:pStyle w:val="Normal"/>
        <w:spacing w:before="0" w:after="0"/>
        <w:ind w:firstLine="708"/>
        <w:contextualSpacing/>
        <w:jc w:val="both"/>
        <w:rPr>
          <w:rFonts w:ascii="Times New Roman" w:hAnsi="Times New Roman" w:cs="Times New Roman"/>
          <w:sz w:val="28"/>
          <w:szCs w:val="28"/>
        </w:rPr>
      </w:pPr>
      <w:r>
        <w:rPr>
          <w:rFonts w:cs="Times New Roman" w:ascii="Times New Roman" w:hAnsi="Times New Roman"/>
          <w:spacing w:val="2"/>
          <w:sz w:val="28"/>
          <w:szCs w:val="28"/>
        </w:rPr>
        <w:t>У</w:t>
      </w:r>
      <w:r>
        <w:rPr>
          <w:rFonts w:cs="Times New Roman" w:ascii="Times New Roman" w:hAnsi="Times New Roman"/>
          <w:b/>
          <w:spacing w:val="2"/>
          <w:sz w:val="28"/>
          <w:szCs w:val="28"/>
        </w:rPr>
        <w:t>часток № 1</w:t>
      </w:r>
      <w:r>
        <w:rPr>
          <w:rFonts w:cs="Times New Roman" w:ascii="Times New Roman" w:hAnsi="Times New Roman"/>
          <w:spacing w:val="2"/>
          <w:sz w:val="28"/>
          <w:szCs w:val="28"/>
        </w:rPr>
        <w:t xml:space="preserve"> находится возле городского пляжа (координаты</w:t>
      </w:r>
      <w:r>
        <w:rPr>
          <w:rFonts w:cs="Times New Roman" w:ascii="Times New Roman" w:hAnsi="Times New Roman"/>
          <w:sz w:val="28"/>
          <w:szCs w:val="28"/>
        </w:rPr>
        <w:t xml:space="preserve"> </w:t>
      </w:r>
      <w:r>
        <w:rPr>
          <w:rFonts w:cs="Times New Roman" w:ascii="Times New Roman" w:hAnsi="Times New Roman"/>
          <w:spacing w:val="2"/>
          <w:sz w:val="28"/>
          <w:szCs w:val="28"/>
        </w:rPr>
        <w:t>56.013032, 29.916018). В районе участка находится парк из лиственных деревьев, жилые дома. В 120 метрах проходит автомобильная дорога (Приложение 1).</w:t>
      </w:r>
    </w:p>
    <w:p>
      <w:pPr>
        <w:pStyle w:val="Normal"/>
        <w:spacing w:before="0" w:after="0"/>
        <w:ind w:firstLine="708"/>
        <w:contextualSpacing/>
        <w:jc w:val="both"/>
        <w:rPr>
          <w:rFonts w:ascii="Times New Roman" w:hAnsi="Times New Roman" w:cs="Times New Roman"/>
          <w:sz w:val="28"/>
          <w:szCs w:val="28"/>
        </w:rPr>
      </w:pPr>
      <w:r>
        <w:rPr>
          <w:rFonts w:cs="Times New Roman" w:ascii="Times New Roman" w:hAnsi="Times New Roman"/>
          <w:b/>
          <w:bCs/>
          <w:spacing w:val="2"/>
          <w:sz w:val="28"/>
          <w:szCs w:val="28"/>
        </w:rPr>
        <w:t>Участок №2</w:t>
      </w:r>
      <w:r>
        <w:rPr>
          <w:rFonts w:cs="Times New Roman" w:ascii="Times New Roman" w:hAnsi="Times New Roman"/>
          <w:spacing w:val="2"/>
          <w:sz w:val="28"/>
          <w:szCs w:val="28"/>
        </w:rPr>
        <w:t xml:space="preserve"> находится в районе улицы Заводской, рядом находится жилые дома, примерно в 500 мерах находится транспортное предприятие. Координаты 56.000230, 29.932553 (Приложение 2).</w:t>
      </w:r>
    </w:p>
    <w:p>
      <w:pPr>
        <w:pStyle w:val="Normal"/>
        <w:spacing w:before="0" w:after="0"/>
        <w:ind w:firstLine="708"/>
        <w:contextualSpacing/>
        <w:jc w:val="both"/>
        <w:rPr>
          <w:rFonts w:ascii="Times New Roman" w:hAnsi="Times New Roman" w:cs="Times New Roman"/>
          <w:sz w:val="28"/>
          <w:szCs w:val="28"/>
        </w:rPr>
      </w:pPr>
      <w:r>
        <w:rPr>
          <w:rFonts w:cs="Times New Roman" w:ascii="Times New Roman" w:hAnsi="Times New Roman"/>
          <w:b/>
          <w:spacing w:val="2"/>
          <w:sz w:val="28"/>
          <w:szCs w:val="28"/>
        </w:rPr>
        <w:t xml:space="preserve">Участок №3  </w:t>
      </w:r>
      <w:r>
        <w:rPr>
          <w:rFonts w:cs="Times New Roman" w:ascii="Times New Roman" w:hAnsi="Times New Roman"/>
          <w:spacing w:val="2"/>
          <w:sz w:val="28"/>
          <w:szCs w:val="28"/>
        </w:rPr>
        <w:t xml:space="preserve">  находится между деревнями Мигушино и Телешово, возле участка не проводятся сельскохозяйственные работы, нет жилых домов и других строений  (координаты 55.971371, 29.940692)            (Приложение 3).</w:t>
      </w:r>
    </w:p>
    <w:p>
      <w:pPr>
        <w:pStyle w:val="NormalWeb"/>
        <w:shd w:val="clear" w:color="auto" w:fill="FFFFFF"/>
        <w:rPr>
          <w:sz w:val="28"/>
          <w:szCs w:val="28"/>
        </w:rPr>
      </w:pPr>
      <w:r>
        <w:rPr>
          <w:sz w:val="28"/>
          <w:szCs w:val="28"/>
        </w:rPr>
        <w:tab/>
      </w:r>
    </w:p>
    <w:p>
      <w:pPr>
        <w:pStyle w:val="NormalWeb"/>
        <w:shd w:val="clear" w:color="auto" w:fill="FFFFFF"/>
        <w:rPr>
          <w:sz w:val="28"/>
          <w:szCs w:val="28"/>
        </w:rPr>
      </w:pPr>
      <w:r>
        <w:rPr>
          <w:b/>
          <w:sz w:val="28"/>
          <w:szCs w:val="28"/>
        </w:rPr>
        <w:tab/>
        <w:t>3.2. Биотестирование исследуемых проб озёрной воды по всхожести лука репчатого</w:t>
      </w:r>
    </w:p>
    <w:p>
      <w:pPr>
        <w:pStyle w:val="Normal"/>
        <w:shd w:val="clear" w:color="auto" w:fill="FFFFFF"/>
        <w:jc w:val="both"/>
        <w:rPr>
          <w:rFonts w:ascii="Times New Roman" w:hAnsi="Times New Roman" w:cs="Times New Roman"/>
          <w:sz w:val="28"/>
        </w:rPr>
      </w:pPr>
      <w:r>
        <w:rPr>
          <w:rFonts w:cs="Times New Roman" w:ascii="Times New Roman" w:hAnsi="Times New Roman"/>
          <w:b/>
          <w:sz w:val="28"/>
          <w:szCs w:val="28"/>
        </w:rPr>
        <w:t xml:space="preserve"> </w:t>
      </w:r>
      <w:r>
        <w:rPr>
          <w:rFonts w:cs="Times New Roman" w:ascii="Times New Roman" w:hAnsi="Times New Roman"/>
          <w:b/>
          <w:color w:val="000000"/>
          <w:sz w:val="28"/>
          <w:szCs w:val="28"/>
        </w:rPr>
        <w:tab/>
        <w:t xml:space="preserve"> </w:t>
      </w:r>
      <w:r>
        <w:rPr>
          <w:rFonts w:cs="Times New Roman" w:ascii="Times New Roman" w:hAnsi="Times New Roman"/>
          <w:color w:val="000000"/>
          <w:sz w:val="28"/>
          <w:szCs w:val="28"/>
        </w:rPr>
        <w:t>Для проведения эксперимента подготовили луковицы репчатого лука сорта Штуттгартен Ризен (Allium cepa L. "Stuttgarter Riesen") по методу                 И.И Концевой, Т.А. Толкачевой [8].</w:t>
      </w:r>
    </w:p>
    <w:p>
      <w:pPr>
        <w:pStyle w:val="NormalWeb"/>
        <w:shd w:val="clear" w:color="auto" w:fill="FFFFFF"/>
        <w:jc w:val="both"/>
        <w:rPr>
          <w:sz w:val="28"/>
          <w:szCs w:val="28"/>
        </w:rPr>
      </w:pPr>
      <w:r>
        <w:rPr>
          <w:sz w:val="28"/>
          <w:szCs w:val="28"/>
        </w:rPr>
        <w:t xml:space="preserve">  </w:t>
      </w:r>
      <w:r>
        <w:rPr>
          <w:sz w:val="28"/>
          <w:szCs w:val="28"/>
        </w:rPr>
        <w:t>Первичный скрининг-тест (</w:t>
      </w:r>
      <w:r>
        <w:rPr>
          <w:sz w:val="28"/>
          <w:szCs w:val="28"/>
          <w:lang w:val="en-US"/>
        </w:rPr>
        <w:t>Allium</w:t>
      </w:r>
      <w:r>
        <w:rPr>
          <w:sz w:val="28"/>
          <w:szCs w:val="28"/>
        </w:rPr>
        <w:t xml:space="preserve"> </w:t>
      </w:r>
      <w:r>
        <w:rPr>
          <w:sz w:val="28"/>
          <w:szCs w:val="28"/>
          <w:lang w:val="en-US"/>
        </w:rPr>
        <w:t>Screening</w:t>
      </w:r>
      <w:r>
        <w:rPr>
          <w:sz w:val="28"/>
          <w:szCs w:val="28"/>
        </w:rPr>
        <w:t xml:space="preserve"> </w:t>
      </w:r>
      <w:r>
        <w:rPr>
          <w:sz w:val="28"/>
          <w:szCs w:val="28"/>
          <w:lang w:val="en-US"/>
        </w:rPr>
        <w:t>test</w:t>
      </w:r>
      <w:r>
        <w:rPr>
          <w:sz w:val="28"/>
          <w:szCs w:val="28"/>
        </w:rPr>
        <w:t>) с репчатым луком показывает, обладает ли фактор выраженной биологической активностью (Приложение 4). Основным макропараметром   скрининг -теста является рост корней. Но в данном тесте мы обратили внимание на такие макропараметры, как тургесценция и изменение цвета корней.</w:t>
      </w:r>
    </w:p>
    <w:p>
      <w:pPr>
        <w:pStyle w:val="NormalWeb"/>
        <w:shd w:val="clear" w:color="auto" w:fill="FFFFFF"/>
        <w:jc w:val="both"/>
        <w:rPr>
          <w:sz w:val="28"/>
          <w:szCs w:val="28"/>
        </w:rPr>
      </w:pPr>
      <w:r>
        <w:rPr>
          <w:sz w:val="28"/>
          <w:szCs w:val="28"/>
        </w:rPr>
        <w:tab/>
        <w:t>Твёрдость кончика корней связана со степенью токсичности фактора. При высокой токсичности фактора тургесценция падает, что может привести к гибели корней. Так же разбухание кончиков корней  свидетельствует о нарушении процесса митоза.</w:t>
      </w:r>
    </w:p>
    <w:p>
      <w:pPr>
        <w:pStyle w:val="NormalWeb"/>
        <w:shd w:val="clear" w:color="auto" w:fill="FFFFFF"/>
        <w:jc w:val="both"/>
        <w:rPr>
          <w:sz w:val="28"/>
          <w:szCs w:val="28"/>
        </w:rPr>
      </w:pPr>
      <w:r>
        <w:rPr>
          <w:sz w:val="28"/>
          <w:szCs w:val="28"/>
        </w:rPr>
        <w:t xml:space="preserve">   </w:t>
      </w:r>
      <w:r>
        <w:rPr>
          <w:sz w:val="28"/>
          <w:szCs w:val="28"/>
        </w:rPr>
        <w:tab/>
        <w:t>Одновременно  наблюдали за возможным изменением цвета корней за время эксперимента. Причина этого явления – содержание в воде определённых солей. Кроме того, коричневый цвет корней связан с токсическим действием фактора, который может вызвать гибель клеток корня.</w:t>
      </w:r>
    </w:p>
    <w:p>
      <w:pPr>
        <w:pStyle w:val="NormalWeb"/>
        <w:shd w:val="clear" w:color="auto" w:fill="FFFFFF"/>
        <w:jc w:val="both"/>
        <w:rPr>
          <w:sz w:val="28"/>
          <w:szCs w:val="28"/>
        </w:rPr>
      </w:pPr>
      <w:r>
        <w:rPr>
          <w:sz w:val="28"/>
          <w:szCs w:val="28"/>
        </w:rPr>
        <w:tab/>
        <w:t>Измерение длины корней производили после их срезания у каждой луковицы под основание. Затем измеряли длину каждого корешка. Поврежденные корни не учитывались. Рассчитали среднюю длину корней для каждой луковицы в опытных и контрольных сериях эксперимента. Затем установили среднее значение корней для всей выборки луковиц. Вычислили, во сколько длина корней в опытной серии больше/меньше контрольной и выразили в процентах.</w:t>
      </w:r>
    </w:p>
    <w:p>
      <w:pPr>
        <w:pStyle w:val="NormalWeb"/>
        <w:shd w:val="clear" w:color="auto" w:fill="FFFFFF"/>
        <w:jc w:val="both"/>
        <w:rPr>
          <w:sz w:val="28"/>
          <w:szCs w:val="28"/>
        </w:rPr>
      </w:pPr>
      <w:r>
        <w:rPr>
          <w:sz w:val="28"/>
          <w:szCs w:val="28"/>
        </w:rPr>
        <w:tab/>
        <w:t xml:space="preserve">Если происходит значительное угнетение роста корней по сравнению     с контролем, то отмечают токсический эффект воздействующего фактора.         В случае значительного прироста корней можно говорить о стимулирующем эффекте. </w:t>
      </w:r>
    </w:p>
    <w:p>
      <w:pPr>
        <w:pStyle w:val="NormalWeb"/>
        <w:shd w:val="clear" w:color="auto" w:fill="FFFFFF"/>
        <w:ind w:firstLine="708"/>
        <w:jc w:val="both"/>
        <w:rPr>
          <w:sz w:val="28"/>
          <w:szCs w:val="28"/>
        </w:rPr>
      </w:pPr>
      <w:r>
        <w:rPr>
          <w:sz w:val="28"/>
          <w:szCs w:val="28"/>
        </w:rPr>
        <w:t xml:space="preserve">Для получения сопоставимых результатов по итогам тестирования рассчитали индекс токсичности по формуле: </w:t>
      </w:r>
    </w:p>
    <w:p>
      <w:pPr>
        <w:pStyle w:val="NormalWeb"/>
        <w:shd w:val="clear" w:color="auto" w:fill="FFFFFF"/>
        <w:ind w:firstLine="708"/>
        <w:jc w:val="both"/>
        <w:rPr>
          <w:sz w:val="28"/>
          <w:szCs w:val="28"/>
        </w:rPr>
      </w:pPr>
      <w:r>
        <w:rPr>
          <w:sz w:val="28"/>
          <w:szCs w:val="28"/>
        </w:rPr>
        <w:t>ИТФ = ТФо/ТФк, где ИТФ – индекс токсичности оцениваемого фактора; ТФо – значение регистрируемой тест-функции в опыте; ТФк – значение регистрируемой тест-функции в контроле.</w:t>
      </w:r>
    </w:p>
    <w:p>
      <w:pPr>
        <w:pStyle w:val="NormalWeb"/>
        <w:shd w:val="clear" w:color="auto" w:fill="FFFFFF"/>
        <w:ind w:firstLine="708"/>
        <w:jc w:val="both"/>
        <w:rPr>
          <w:sz w:val="28"/>
          <w:szCs w:val="28"/>
        </w:rPr>
      </w:pPr>
      <w:r>
        <w:rPr>
          <w:sz w:val="28"/>
          <w:szCs w:val="28"/>
        </w:rPr>
      </w:r>
    </w:p>
    <w:p>
      <w:pPr>
        <w:pStyle w:val="NormalWeb"/>
        <w:shd w:val="clear" w:color="auto" w:fill="FFFFFF"/>
        <w:ind w:firstLine="708"/>
        <w:jc w:val="center"/>
        <w:rPr>
          <w:sz w:val="28"/>
          <w:szCs w:val="28"/>
        </w:rPr>
      </w:pPr>
      <w:r>
        <w:rPr>
          <w:sz w:val="28"/>
          <w:szCs w:val="28"/>
        </w:rPr>
        <w:t>Таблица1. Шкала токсичности Р.Р. Кабиров, Е.В. Сугачкова[9]</w:t>
      </w:r>
    </w:p>
    <w:tbl>
      <w:tblPr>
        <w:tblStyle w:val="af5"/>
        <w:tblW w:w="957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3187"/>
        <w:gridCol w:w="1739"/>
        <w:gridCol w:w="4644"/>
      </w:tblGrid>
      <w:tr>
        <w:trPr/>
        <w:tc>
          <w:tcPr>
            <w:tcW w:w="3187" w:type="dxa"/>
            <w:tcBorders/>
          </w:tcPr>
          <w:p>
            <w:pPr>
              <w:pStyle w:val="NormalWeb"/>
              <w:widowControl/>
              <w:suppressAutoHyphens w:val="true"/>
              <w:spacing w:beforeAutospacing="0" w:before="0" w:afterAutospacing="0" w:after="280"/>
              <w:contextualSpacing/>
              <w:jc w:val="center"/>
              <w:rPr>
                <w:sz w:val="28"/>
                <w:szCs w:val="28"/>
              </w:rPr>
            </w:pPr>
            <w:r>
              <w:rPr>
                <w:kern w:val="0"/>
                <w:sz w:val="28"/>
                <w:szCs w:val="28"/>
                <w:lang w:val="ru-RU" w:bidi="ar-SA"/>
              </w:rPr>
              <w:t>Класс токсичности</w:t>
            </w:r>
          </w:p>
        </w:tc>
        <w:tc>
          <w:tcPr>
            <w:tcW w:w="1739" w:type="dxa"/>
            <w:tcBorders/>
          </w:tcPr>
          <w:p>
            <w:pPr>
              <w:pStyle w:val="NormalWeb"/>
              <w:widowControl/>
              <w:suppressAutoHyphens w:val="true"/>
              <w:spacing w:beforeAutospacing="0" w:before="0" w:afterAutospacing="0" w:after="280"/>
              <w:contextualSpacing/>
              <w:jc w:val="center"/>
              <w:rPr>
                <w:sz w:val="28"/>
                <w:szCs w:val="28"/>
              </w:rPr>
            </w:pPr>
            <w:r>
              <w:rPr>
                <w:kern w:val="0"/>
                <w:sz w:val="28"/>
                <w:szCs w:val="28"/>
                <w:lang w:val="ru-RU" w:bidi="ar-SA"/>
              </w:rPr>
              <w:t>Величина токсичности (ИТФ)</w:t>
            </w:r>
          </w:p>
        </w:tc>
        <w:tc>
          <w:tcPr>
            <w:tcW w:w="4644" w:type="dxa"/>
            <w:tcBorders/>
          </w:tcPr>
          <w:p>
            <w:pPr>
              <w:pStyle w:val="NormalWeb"/>
              <w:widowControl/>
              <w:suppressAutoHyphens w:val="true"/>
              <w:spacing w:beforeAutospacing="0" w:before="0" w:afterAutospacing="0" w:after="280"/>
              <w:contextualSpacing/>
              <w:jc w:val="center"/>
              <w:rPr>
                <w:sz w:val="28"/>
                <w:szCs w:val="28"/>
              </w:rPr>
            </w:pPr>
            <w:r>
              <w:rPr>
                <w:kern w:val="0"/>
                <w:sz w:val="28"/>
                <w:szCs w:val="28"/>
                <w:lang w:val="ru-RU" w:bidi="ar-SA"/>
              </w:rPr>
              <w:t>Пояснения</w:t>
            </w:r>
          </w:p>
        </w:tc>
      </w:tr>
      <w:tr>
        <w:trPr/>
        <w:tc>
          <w:tcPr>
            <w:tcW w:w="3187"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VI класс</w:t>
            </w:r>
          </w:p>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Стимуляция</w:t>
            </w:r>
          </w:p>
        </w:tc>
        <w:tc>
          <w:tcPr>
            <w:tcW w:w="1739" w:type="dxa"/>
            <w:tcBorders/>
          </w:tcPr>
          <w:p>
            <w:pPr>
              <w:pStyle w:val="NormalWeb"/>
              <w:widowControl/>
              <w:suppressAutoHyphens w:val="true"/>
              <w:spacing w:beforeAutospacing="0" w:before="0" w:afterAutospacing="0" w:after="280"/>
              <w:contextualSpacing/>
              <w:jc w:val="center"/>
              <w:rPr>
                <w:sz w:val="28"/>
                <w:szCs w:val="28"/>
              </w:rPr>
            </w:pPr>
            <w:r>
              <w:rPr>
                <w:kern w:val="0"/>
                <w:sz w:val="28"/>
                <w:szCs w:val="28"/>
                <w:lang w:val="ru-RU" w:bidi="ar-SA"/>
              </w:rPr>
              <w:t>&gt; 1,1</w:t>
            </w:r>
          </w:p>
        </w:tc>
        <w:tc>
          <w:tcPr>
            <w:tcW w:w="4644"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Фактор оказывает стимулирующее воздействие на тест-объект, величина тест-функции в опыте превышает контрольные значения.</w:t>
            </w:r>
          </w:p>
        </w:tc>
      </w:tr>
      <w:tr>
        <w:trPr/>
        <w:tc>
          <w:tcPr>
            <w:tcW w:w="3187"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V класс</w:t>
            </w:r>
          </w:p>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Норма</w:t>
            </w:r>
          </w:p>
        </w:tc>
        <w:tc>
          <w:tcPr>
            <w:tcW w:w="1739" w:type="dxa"/>
            <w:tcBorders/>
          </w:tcPr>
          <w:p>
            <w:pPr>
              <w:pStyle w:val="NormalWeb"/>
              <w:widowControl/>
              <w:suppressAutoHyphens w:val="true"/>
              <w:spacing w:beforeAutospacing="0" w:before="0" w:afterAutospacing="0" w:after="280"/>
              <w:contextualSpacing/>
              <w:jc w:val="center"/>
              <w:rPr>
                <w:sz w:val="28"/>
                <w:szCs w:val="28"/>
              </w:rPr>
            </w:pPr>
            <w:r>
              <w:rPr>
                <w:kern w:val="0"/>
                <w:sz w:val="28"/>
                <w:szCs w:val="28"/>
                <w:lang w:val="ru-RU" w:bidi="ar-SA"/>
              </w:rPr>
              <w:t>0,91-1,1</w:t>
            </w:r>
          </w:p>
        </w:tc>
        <w:tc>
          <w:tcPr>
            <w:tcW w:w="4644"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Фактор не оказывает существенного влияния на развитие тест-объекта, величина тест-функции находится на уровне контроля.</w:t>
            </w:r>
          </w:p>
        </w:tc>
      </w:tr>
      <w:tr>
        <w:trPr/>
        <w:tc>
          <w:tcPr>
            <w:tcW w:w="3187"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IV класс</w:t>
            </w:r>
          </w:p>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Низкая токсичность</w:t>
            </w:r>
          </w:p>
        </w:tc>
        <w:tc>
          <w:tcPr>
            <w:tcW w:w="1739" w:type="dxa"/>
            <w:tcBorders/>
          </w:tcPr>
          <w:p>
            <w:pPr>
              <w:pStyle w:val="NormalWeb"/>
              <w:widowControl/>
              <w:suppressAutoHyphens w:val="true"/>
              <w:spacing w:beforeAutospacing="0" w:before="0" w:afterAutospacing="0" w:after="280"/>
              <w:contextualSpacing/>
              <w:jc w:val="center"/>
              <w:rPr>
                <w:sz w:val="28"/>
                <w:szCs w:val="28"/>
              </w:rPr>
            </w:pPr>
            <w:r>
              <w:rPr>
                <w:kern w:val="0"/>
                <w:sz w:val="28"/>
                <w:szCs w:val="28"/>
                <w:lang w:val="ru-RU" w:bidi="ar-SA"/>
              </w:rPr>
              <w:t>0,71-0,9</w:t>
            </w:r>
          </w:p>
        </w:tc>
        <w:tc>
          <w:tcPr>
            <w:tcW w:w="4644"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Происходит снижение величины тест-функции в опыте по сравнению с контролем</w:t>
            </w:r>
          </w:p>
        </w:tc>
      </w:tr>
      <w:tr>
        <w:trPr/>
        <w:tc>
          <w:tcPr>
            <w:tcW w:w="3187"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III класс</w:t>
            </w:r>
          </w:p>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Средняя токсичность</w:t>
            </w:r>
          </w:p>
        </w:tc>
        <w:tc>
          <w:tcPr>
            <w:tcW w:w="1739" w:type="dxa"/>
            <w:tcBorders/>
          </w:tcPr>
          <w:p>
            <w:pPr>
              <w:pStyle w:val="NormalWeb"/>
              <w:widowControl/>
              <w:suppressAutoHyphens w:val="true"/>
              <w:spacing w:beforeAutospacing="0" w:before="0" w:afterAutospacing="0" w:after="280"/>
              <w:contextualSpacing/>
              <w:jc w:val="center"/>
              <w:rPr>
                <w:sz w:val="28"/>
                <w:szCs w:val="28"/>
              </w:rPr>
            </w:pPr>
            <w:r>
              <w:rPr>
                <w:kern w:val="0"/>
                <w:sz w:val="28"/>
                <w:szCs w:val="28"/>
                <w:lang w:val="ru-RU" w:bidi="ar-SA"/>
              </w:rPr>
              <w:t>0,5-0,7</w:t>
            </w:r>
          </w:p>
        </w:tc>
        <w:tc>
          <w:tcPr>
            <w:tcW w:w="4644"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То же</w:t>
            </w:r>
          </w:p>
        </w:tc>
      </w:tr>
      <w:tr>
        <w:trPr/>
        <w:tc>
          <w:tcPr>
            <w:tcW w:w="3187"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II класс</w:t>
            </w:r>
          </w:p>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Высокая токсичность</w:t>
            </w:r>
          </w:p>
        </w:tc>
        <w:tc>
          <w:tcPr>
            <w:tcW w:w="1739" w:type="dxa"/>
            <w:tcBorders/>
          </w:tcPr>
          <w:p>
            <w:pPr>
              <w:pStyle w:val="NormalWeb"/>
              <w:widowControl/>
              <w:suppressAutoHyphens w:val="true"/>
              <w:spacing w:beforeAutospacing="0" w:before="0" w:afterAutospacing="0" w:after="280"/>
              <w:contextualSpacing/>
              <w:jc w:val="center"/>
              <w:rPr>
                <w:sz w:val="28"/>
                <w:szCs w:val="28"/>
              </w:rPr>
            </w:pPr>
            <w:r>
              <w:rPr>
                <w:kern w:val="0"/>
                <w:sz w:val="28"/>
                <w:szCs w:val="28"/>
                <w:lang w:val="ru-RU" w:bidi="ar-SA"/>
              </w:rPr>
              <w:t>&lt; 0,5</w:t>
            </w:r>
          </w:p>
        </w:tc>
        <w:tc>
          <w:tcPr>
            <w:tcW w:w="4644"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То же</w:t>
            </w:r>
          </w:p>
        </w:tc>
      </w:tr>
      <w:tr>
        <w:trPr/>
        <w:tc>
          <w:tcPr>
            <w:tcW w:w="3187"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I класс токсичности Сверхвысокая токсичность</w:t>
            </w:r>
          </w:p>
        </w:tc>
        <w:tc>
          <w:tcPr>
            <w:tcW w:w="1739" w:type="dxa"/>
            <w:tcBorders/>
          </w:tcPr>
          <w:p>
            <w:pPr>
              <w:pStyle w:val="NormalWeb"/>
              <w:widowControl/>
              <w:suppressAutoHyphens w:val="true"/>
              <w:spacing w:beforeAutospacing="0" w:before="0" w:afterAutospacing="0" w:after="280"/>
              <w:contextualSpacing/>
              <w:jc w:val="center"/>
              <w:rPr>
                <w:sz w:val="28"/>
                <w:szCs w:val="28"/>
              </w:rPr>
            </w:pPr>
            <w:r>
              <w:rPr>
                <w:kern w:val="0"/>
                <w:sz w:val="28"/>
                <w:szCs w:val="28"/>
                <w:lang w:val="ru-RU" w:bidi="ar-SA"/>
              </w:rPr>
              <w:t>0</w:t>
            </w:r>
          </w:p>
        </w:tc>
        <w:tc>
          <w:tcPr>
            <w:tcW w:w="4644" w:type="dxa"/>
            <w:tcBorders/>
          </w:tcPr>
          <w:p>
            <w:pPr>
              <w:pStyle w:val="NormalWeb"/>
              <w:widowControl/>
              <w:suppressAutoHyphens w:val="true"/>
              <w:spacing w:beforeAutospacing="0" w:before="0" w:afterAutospacing="0" w:after="280"/>
              <w:contextualSpacing/>
              <w:jc w:val="both"/>
              <w:rPr>
                <w:sz w:val="28"/>
                <w:szCs w:val="28"/>
              </w:rPr>
            </w:pPr>
            <w:r>
              <w:rPr>
                <w:kern w:val="0"/>
                <w:sz w:val="28"/>
                <w:szCs w:val="28"/>
                <w:lang w:val="ru-RU" w:bidi="ar-SA"/>
              </w:rPr>
              <w:t>Наблюдается обесцвечивание клеток тест-организма, их полная гибель</w:t>
            </w:r>
          </w:p>
        </w:tc>
      </w:tr>
    </w:tbl>
    <w:p>
      <w:pPr>
        <w:pStyle w:val="NormalWeb"/>
        <w:shd w:val="clear" w:color="auto" w:fill="FFFFFF"/>
        <w:ind w:firstLine="708"/>
        <w:jc w:val="both"/>
        <w:rPr>
          <w:b/>
          <w:b/>
          <w:bCs/>
          <w:sz w:val="28"/>
          <w:szCs w:val="28"/>
        </w:rPr>
      </w:pPr>
      <w:r>
        <w:rPr>
          <w:b/>
          <w:bCs/>
          <w:sz w:val="28"/>
          <w:szCs w:val="28"/>
        </w:rPr>
      </w:r>
    </w:p>
    <w:p>
      <w:pPr>
        <w:pStyle w:val="NormalWeb"/>
        <w:shd w:val="clear" w:color="auto" w:fill="FFFFFF"/>
        <w:rPr>
          <w:sz w:val="28"/>
          <w:szCs w:val="28"/>
        </w:rPr>
      </w:pPr>
      <w:r>
        <w:rPr>
          <w:b/>
          <w:bCs/>
          <w:sz w:val="28"/>
          <w:szCs w:val="28"/>
        </w:rPr>
        <w:tab/>
        <w:t xml:space="preserve">3.3. </w:t>
      </w:r>
      <w:r>
        <w:rPr>
          <w:b/>
          <w:sz w:val="28"/>
          <w:szCs w:val="28"/>
        </w:rPr>
        <w:t>Биотестирование исследуемых проб озёрной воды по всхожести  семян кресс-салата и редиса.</w:t>
      </w:r>
    </w:p>
    <w:p>
      <w:pPr>
        <w:pStyle w:val="NormalWeb"/>
        <w:shd w:val="clear" w:color="auto" w:fill="FFFFFF"/>
        <w:ind w:firstLine="708"/>
        <w:jc w:val="both"/>
        <w:rPr/>
      </w:pPr>
      <w:r>
        <w:rPr>
          <w:sz w:val="28"/>
          <w:szCs w:val="28"/>
        </w:rPr>
        <w:t xml:space="preserve">Данное исследование проведено  по методике кандидата технических наук </w:t>
      </w:r>
      <w:r>
        <w:rPr>
          <w:color w:val="1A1A1A"/>
          <w:sz w:val="28"/>
          <w:szCs w:val="28"/>
          <w:shd w:fill="FFFFFF" w:val="clear"/>
        </w:rPr>
        <w:t xml:space="preserve">А. А. Шайхутдиновой </w:t>
      </w:r>
      <w:r>
        <w:rPr>
          <w:sz w:val="28"/>
          <w:szCs w:val="28"/>
        </w:rPr>
        <w:t>[12]</w:t>
      </w:r>
      <w:r>
        <w:rPr>
          <w:color w:val="1A1A1A"/>
          <w:sz w:val="28"/>
          <w:szCs w:val="28"/>
          <w:shd w:fill="FFFFFF" w:val="clear"/>
        </w:rPr>
        <w:t xml:space="preserve">. </w:t>
      </w:r>
      <w:r>
        <w:rPr>
          <w:color w:val="1A1A1A"/>
          <w:sz w:val="28"/>
          <w:szCs w:val="28"/>
        </w:rPr>
        <w:t>Тест-объекты  в лабораторном биотестировании - семена кресс-салата (Lepidium sativum L.) и редиса  (редька дикая подвид посевная</w:t>
      </w:r>
      <w:r>
        <w:rPr>
          <w:color w:val="202122"/>
          <w:sz w:val="28"/>
          <w:szCs w:val="28"/>
        </w:rPr>
        <w:t xml:space="preserve"> - Raphanus raphanistrum subsp. Sativus)</w:t>
      </w:r>
      <w:r>
        <w:rPr>
          <w:color w:val="1A1A1A"/>
          <w:sz w:val="28"/>
          <w:szCs w:val="28"/>
        </w:rPr>
        <w:t xml:space="preserve">, так как они обладают высокой чувствительностью к химическим веществам. Аналогичный эксперимент с семенами редиса был проведён для сверки результатов исследования. Предварительно семена проверили на всхожесть - количество нормально проросших семян, выраженное в процентах к пробе, взятой для анализа. </w:t>
      </w:r>
    </w:p>
    <w:p>
      <w:pPr>
        <w:pStyle w:val="Normal"/>
        <w:shd w:val="clear" w:color="auto" w:fill="FFFFFF"/>
        <w:jc w:val="both"/>
        <w:rPr>
          <w:rFonts w:ascii="Times New Roman" w:hAnsi="Times New Roman" w:cs="Times New Roman"/>
          <w:sz w:val="28"/>
          <w:szCs w:val="28"/>
        </w:rPr>
      </w:pPr>
      <w:r>
        <w:rPr>
          <w:rFonts w:cs="Times New Roman" w:ascii="Times New Roman" w:hAnsi="Times New Roman"/>
          <w:color w:val="1A1A1A"/>
          <w:sz w:val="28"/>
          <w:szCs w:val="28"/>
          <w:shd w:fill="FFFFFF" w:val="clear"/>
        </w:rPr>
        <w:t xml:space="preserve">   </w:t>
      </w:r>
      <w:r>
        <w:rPr>
          <w:rFonts w:cs="Times New Roman" w:ascii="Times New Roman" w:hAnsi="Times New Roman"/>
          <w:color w:val="1A1A1A"/>
          <w:sz w:val="28"/>
          <w:szCs w:val="28"/>
          <w:shd w:fill="FFFFFF" w:val="clear"/>
        </w:rPr>
        <w:tab/>
        <w:t xml:space="preserve"> </w:t>
      </w:r>
      <w:r>
        <w:rPr>
          <w:rFonts w:eastAsia="Times New Roman" w:cs="Times New Roman" w:ascii="Times New Roman" w:hAnsi="Times New Roman"/>
          <w:color w:val="1A1A1A"/>
          <w:sz w:val="28"/>
          <w:szCs w:val="28"/>
          <w:lang w:eastAsia="ru-RU"/>
        </w:rPr>
        <w:t>В чашки Петри поместили два слоя фильтровальной бумаги.                  В опытных чашках бумагу смочили 7 мл исследуемой воды,  в контрольных чашках – 7 мл дистиллированной воды.  Чашки прикрыли крышками и поместили на одни сутки в термостат при 27 °С.</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Определили всхожесть семян кресс-салата в опытных чашках. При этом стремились, чтобы подсчет всхожести совпал по времени, когда семена в контрольных чашках прорастут точно на 50 % (в момент, когда активность процессов прорастания достигает максимальной скорости                                         и чувствительности к химическим веществам).     </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Проросшим считается семя, у которого корешок прорвал семенную оболочку. Подсчет всхожести не должен занимать более 15 минут, потому что семена кресс-салата прорастают очень быстро.</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Вычислили среднюю всхожесть семян  и выразили в процентах к соответствующей всхожести на дистиллированной воде, чистота принимается за 100 %. Такая величина контроля позволяет выявить не только тормозящий, но и стимулирующий эффект, унифицировать результаты и сравнить между собой данные различных опытов.</w:t>
      </w:r>
    </w:p>
    <w:p>
      <w:pPr>
        <w:pStyle w:val="Normal"/>
        <w:shd w:val="clear" w:color="auto" w:fill="FFFFFF"/>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ab/>
        <w:t>Для количественного выражения токсического действия воды на всхожесть семян вычислили индекс токсичности по формуле 1:</w:t>
      </w:r>
    </w:p>
    <w:p>
      <w:pPr>
        <w:pStyle w:val="Normal"/>
        <w:shd w:val="clear" w:color="auto" w:fill="FFFFFF"/>
        <w:rPr>
          <w:rFonts w:ascii="Times New Roman" w:hAnsi="Times New Roman" w:cs="Times New Roman"/>
          <w:sz w:val="28"/>
          <w:szCs w:val="28"/>
        </w:rPr>
      </w:pPr>
      <w:r>
        <w:rPr>
          <w:rFonts w:cs="Times New Roman" w:ascii="Times New Roman" w:hAnsi="Times New Roman"/>
          <w:color w:val="1A1A1A"/>
          <w:sz w:val="28"/>
          <w:szCs w:val="28"/>
          <w:shd w:fill="FFFFFF" w:val="clear"/>
        </w:rPr>
        <w:t xml:space="preserve">                                                    </w:t>
      </w:r>
      <w:r>
        <w:rPr>
          <w:rFonts w:cs="Times New Roman" w:ascii="Times New Roman" w:hAnsi="Times New Roman"/>
          <w:color w:val="1A1A1A"/>
          <w:sz w:val="28"/>
          <w:szCs w:val="28"/>
          <w:shd w:fill="FFFFFF" w:val="clear"/>
        </w:rPr>
        <w:t>J=</w:t>
      </w:r>
      <w:r>
        <w:rPr>
          <w:rFonts w:eastAsia="Times New Roman" w:cs="Times New Roman" w:ascii="Times New Roman" w:hAnsi="Times New Roman"/>
          <w:color w:val="1A1A1A"/>
          <w:sz w:val="28"/>
          <w:szCs w:val="28"/>
          <w:u w:val="single"/>
          <w:lang w:eastAsia="ru-RU"/>
        </w:rPr>
        <w:t>B</w:t>
      </w:r>
      <w:r>
        <w:rPr>
          <w:rFonts w:eastAsia="Times New Roman" w:cs="Times New Roman" w:ascii="Times New Roman" w:hAnsi="Times New Roman"/>
          <w:color w:val="1A1A1A"/>
          <w:sz w:val="28"/>
          <w:szCs w:val="28"/>
          <w:u w:val="single"/>
          <w:vertAlign w:val="subscript"/>
          <w:lang w:eastAsia="ru-RU"/>
        </w:rPr>
        <w:t>контроль</w:t>
      </w:r>
      <w:r>
        <w:rPr>
          <w:rFonts w:eastAsia="Times New Roman" w:cs="Times New Roman" w:ascii="Times New Roman" w:hAnsi="Times New Roman"/>
          <w:color w:val="1A1A1A"/>
          <w:sz w:val="28"/>
          <w:szCs w:val="28"/>
          <w:u w:val="single"/>
          <w:lang w:eastAsia="ru-RU"/>
        </w:rPr>
        <w:t>-B</w:t>
      </w:r>
      <w:r>
        <w:rPr>
          <w:rFonts w:eastAsia="Times New Roman" w:cs="Times New Roman" w:ascii="Times New Roman" w:hAnsi="Times New Roman"/>
          <w:color w:val="1A1A1A"/>
          <w:sz w:val="28"/>
          <w:szCs w:val="28"/>
          <w:u w:val="single"/>
          <w:vertAlign w:val="subscript"/>
          <w:lang w:eastAsia="ru-RU"/>
        </w:rPr>
        <w:t>опыт</w:t>
      </w:r>
    </w:p>
    <w:p>
      <w:pPr>
        <w:pStyle w:val="NormalWeb"/>
        <w:shd w:val="clear" w:color="auto" w:fill="FFFFFF"/>
        <w:rPr>
          <w:sz w:val="28"/>
          <w:szCs w:val="28"/>
        </w:rPr>
      </w:pPr>
      <w:r>
        <w:rPr>
          <w:color w:val="1A1A1A"/>
          <w:sz w:val="28"/>
          <w:szCs w:val="28"/>
          <w:shd w:fill="FFFFFF" w:val="clear"/>
        </w:rPr>
        <w:t xml:space="preserve">                                                            </w:t>
      </w:r>
      <w:r>
        <w:rPr>
          <w:color w:val="1A1A1A"/>
          <w:sz w:val="28"/>
          <w:szCs w:val="28"/>
          <w:shd w:fill="FFFFFF" w:val="clear"/>
        </w:rPr>
        <w:t>B</w:t>
      </w:r>
      <w:r>
        <w:rPr>
          <w:color w:val="1A1A1A"/>
          <w:sz w:val="28"/>
          <w:szCs w:val="28"/>
          <w:shd w:fill="FFFFFF" w:val="clear"/>
          <w:vertAlign w:val="subscript"/>
        </w:rPr>
        <w:t>контроль</w:t>
      </w:r>
    </w:p>
    <w:p>
      <w:pPr>
        <w:pStyle w:val="Normal"/>
        <w:shd w:val="clear" w:color="auto" w:fill="FFFFFF"/>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где J – индекс токсичности; В</w:t>
      </w:r>
      <w:r>
        <w:rPr>
          <w:rFonts w:eastAsia="Times New Roman" w:cs="Times New Roman" w:ascii="Times New Roman" w:hAnsi="Times New Roman"/>
          <w:color w:val="1A1A1A"/>
          <w:sz w:val="28"/>
          <w:szCs w:val="28"/>
          <w:vertAlign w:val="subscript"/>
          <w:lang w:eastAsia="ru-RU"/>
        </w:rPr>
        <w:t>контроль</w:t>
      </w:r>
      <w:r>
        <w:rPr>
          <w:rFonts w:eastAsia="Times New Roman" w:cs="Times New Roman" w:ascii="Times New Roman" w:hAnsi="Times New Roman"/>
          <w:color w:val="1A1A1A"/>
          <w:sz w:val="28"/>
          <w:szCs w:val="28"/>
          <w:lang w:eastAsia="ru-RU"/>
        </w:rPr>
        <w:t xml:space="preserve"> – всхожесть семян в контроле, %; В</w:t>
      </w:r>
      <w:r>
        <w:rPr>
          <w:rFonts w:eastAsia="Times New Roman" w:cs="Times New Roman" w:ascii="Times New Roman" w:hAnsi="Times New Roman"/>
          <w:color w:val="1A1A1A"/>
          <w:sz w:val="28"/>
          <w:szCs w:val="28"/>
          <w:vertAlign w:val="subscript"/>
          <w:lang w:eastAsia="ru-RU"/>
        </w:rPr>
        <w:t>опыт</w:t>
      </w:r>
      <w:r>
        <w:rPr>
          <w:rFonts w:eastAsia="Times New Roman" w:cs="Times New Roman" w:ascii="Times New Roman" w:hAnsi="Times New Roman"/>
          <w:color w:val="1A1A1A"/>
          <w:sz w:val="28"/>
          <w:szCs w:val="28"/>
          <w:lang w:eastAsia="ru-RU"/>
        </w:rPr>
        <w:t xml:space="preserve"> – всхожесть семян в опытном варианте, %. Чем выше всхожесть семян (при контроле – 50 %), тем меньше в исследуемой воде токсических веществ, при 100 % их нет или действие маскируется.</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После вычисления средней всхожести семян и индекса токсичности определили степень загрязнения природной воды по Таблице 2. Показатели и критерии загрязнения воды.</w:t>
      </w:r>
      <w:r>
        <w:rPr>
          <w:rFonts w:cs="Times New Roman" w:ascii="Times New Roman" w:hAnsi="Times New Roman"/>
          <w:color w:val="1A1A1A"/>
          <w:sz w:val="28"/>
          <w:szCs w:val="28"/>
          <w:shd w:fill="FFFFFF" w:val="clear"/>
        </w:rPr>
        <w:t xml:space="preserve"> </w:t>
      </w:r>
    </w:p>
    <w:p>
      <w:pPr>
        <w:pStyle w:val="Normal"/>
        <w:shd w:val="clear" w:color="auto" w:fill="FFFFFF"/>
        <w:jc w:val="center"/>
        <w:rPr>
          <w:rFonts w:ascii="Times New Roman" w:hAnsi="Times New Roman" w:cs="Times New Roman"/>
          <w:sz w:val="28"/>
          <w:szCs w:val="28"/>
        </w:rPr>
      </w:pPr>
      <w:r>
        <w:rPr>
          <w:rFonts w:cs="Times New Roman" w:ascii="Times New Roman" w:hAnsi="Times New Roman"/>
          <w:color w:val="1A1A1A"/>
          <w:sz w:val="28"/>
          <w:szCs w:val="28"/>
          <w:shd w:fill="FFFFFF" w:val="clear"/>
        </w:rPr>
        <w:t>Таблица 2. Показатели и критерии загрязнения воды</w:t>
      </w:r>
    </w:p>
    <w:tbl>
      <w:tblPr>
        <w:tblW w:w="9354" w:type="dxa"/>
        <w:jc w:val="left"/>
        <w:tblInd w:w="28" w:type="dxa"/>
        <w:tblLayout w:type="fixed"/>
        <w:tblCellMar>
          <w:top w:w="28" w:type="dxa"/>
          <w:left w:w="28" w:type="dxa"/>
          <w:bottom w:w="28" w:type="dxa"/>
          <w:right w:w="28" w:type="dxa"/>
        </w:tblCellMar>
        <w:tblLook w:val="04a0" w:noVBand="1" w:noHBand="0" w:lastColumn="0" w:firstColumn="1" w:lastRow="0" w:firstRow="1"/>
      </w:tblPr>
      <w:tblGrid>
        <w:gridCol w:w="1870"/>
        <w:gridCol w:w="1871"/>
        <w:gridCol w:w="1871"/>
        <w:gridCol w:w="1871"/>
        <w:gridCol w:w="1871"/>
      </w:tblGrid>
      <w:tr>
        <w:trPr/>
        <w:tc>
          <w:tcPr>
            <w:tcW w:w="1870" w:type="dxa"/>
            <w:vMerge w:val="restart"/>
            <w:tcBorders>
              <w:top w:val="single" w:sz="2" w:space="0" w:color="000000"/>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Показатели</w:t>
            </w:r>
          </w:p>
        </w:tc>
        <w:tc>
          <w:tcPr>
            <w:tcW w:w="7484" w:type="dxa"/>
            <w:gridSpan w:val="4"/>
            <w:tcBorders>
              <w:top w:val="single" w:sz="2" w:space="0" w:color="000000"/>
              <w:left w:val="single" w:sz="2" w:space="0" w:color="000000"/>
              <w:bottom w:val="single" w:sz="2" w:space="0" w:color="000000"/>
              <w:right w:val="single" w:sz="2" w:space="0" w:color="000000"/>
            </w:tcBorders>
          </w:tcPr>
          <w:p>
            <w:pPr>
              <w:pStyle w:val="Style26"/>
              <w:widowControl w:val="false"/>
              <w:jc w:val="center"/>
              <w:rPr>
                <w:rFonts w:ascii="Times New Roman" w:hAnsi="Times New Roman" w:cs="Times New Roman"/>
                <w:sz w:val="28"/>
                <w:szCs w:val="28"/>
              </w:rPr>
            </w:pPr>
            <w:r>
              <w:rPr>
                <w:rFonts w:cs="Times New Roman" w:ascii="Times New Roman" w:hAnsi="Times New Roman"/>
                <w:sz w:val="28"/>
                <w:szCs w:val="28"/>
              </w:rPr>
              <w:t>Степень загрязнений</w:t>
            </w:r>
          </w:p>
        </w:tc>
      </w:tr>
      <w:tr>
        <w:trPr/>
        <w:tc>
          <w:tcPr>
            <w:tcW w:w="1870" w:type="dxa"/>
            <w:vMerge w:val="continue"/>
            <w:tcBorders>
              <w:top w:val="single" w:sz="2" w:space="0" w:color="000000"/>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r>
          </w:p>
        </w:tc>
        <w:tc>
          <w:tcPr>
            <w:tcW w:w="1871" w:type="dxa"/>
            <w:tcBorders>
              <w:left w:val="single" w:sz="2" w:space="0" w:color="000000"/>
              <w:bottom w:val="single" w:sz="2" w:space="0" w:color="000000"/>
            </w:tcBorders>
          </w:tcPr>
          <w:p>
            <w:pPr>
              <w:pStyle w:val="Style26"/>
              <w:widowControl w:val="false"/>
              <w:jc w:val="center"/>
              <w:rPr>
                <w:rFonts w:ascii="Times New Roman" w:hAnsi="Times New Roman" w:cs="Times New Roman"/>
                <w:sz w:val="28"/>
                <w:szCs w:val="28"/>
              </w:rPr>
            </w:pPr>
            <w:r>
              <w:rPr>
                <w:rFonts w:cs="Times New Roman" w:ascii="Times New Roman" w:hAnsi="Times New Roman"/>
                <w:sz w:val="28"/>
                <w:szCs w:val="28"/>
              </w:rPr>
              <w:t>загрязнение отсутствует</w:t>
            </w:r>
          </w:p>
        </w:tc>
        <w:tc>
          <w:tcPr>
            <w:tcW w:w="1871" w:type="dxa"/>
            <w:tcBorders>
              <w:left w:val="single" w:sz="2" w:space="0" w:color="000000"/>
              <w:bottom w:val="single" w:sz="2" w:space="0" w:color="000000"/>
            </w:tcBorders>
          </w:tcPr>
          <w:p>
            <w:pPr>
              <w:pStyle w:val="Style26"/>
              <w:widowControl w:val="false"/>
              <w:jc w:val="center"/>
              <w:rPr>
                <w:rFonts w:ascii="Times New Roman" w:hAnsi="Times New Roman" w:cs="Times New Roman"/>
                <w:sz w:val="28"/>
                <w:szCs w:val="28"/>
              </w:rPr>
            </w:pPr>
            <w:r>
              <w:rPr>
                <w:rFonts w:cs="Times New Roman" w:ascii="Times New Roman" w:hAnsi="Times New Roman"/>
                <w:sz w:val="28"/>
                <w:szCs w:val="28"/>
              </w:rPr>
              <w:t>слабое загрязнение</w:t>
            </w:r>
          </w:p>
        </w:tc>
        <w:tc>
          <w:tcPr>
            <w:tcW w:w="1871" w:type="dxa"/>
            <w:tcBorders>
              <w:left w:val="single" w:sz="2" w:space="0" w:color="000000"/>
              <w:bottom w:val="single" w:sz="2" w:space="0" w:color="000000"/>
            </w:tcBorders>
          </w:tcPr>
          <w:p>
            <w:pPr>
              <w:pStyle w:val="Style26"/>
              <w:widowControl w:val="false"/>
              <w:jc w:val="center"/>
              <w:rPr>
                <w:rFonts w:ascii="Times New Roman" w:hAnsi="Times New Roman" w:cs="Times New Roman"/>
                <w:sz w:val="28"/>
                <w:szCs w:val="28"/>
              </w:rPr>
            </w:pPr>
            <w:r>
              <w:rPr>
                <w:rFonts w:cs="Times New Roman" w:ascii="Times New Roman" w:hAnsi="Times New Roman"/>
                <w:sz w:val="28"/>
                <w:szCs w:val="28"/>
              </w:rPr>
              <w:t>среднее загрязнение</w:t>
            </w:r>
          </w:p>
        </w:tc>
        <w:tc>
          <w:tcPr>
            <w:tcW w:w="1871" w:type="dxa"/>
            <w:tcBorders>
              <w:left w:val="single" w:sz="2" w:space="0" w:color="000000"/>
              <w:bottom w:val="single" w:sz="2" w:space="0" w:color="000000"/>
              <w:right w:val="single" w:sz="2" w:space="0" w:color="000000"/>
            </w:tcBorders>
          </w:tcPr>
          <w:p>
            <w:pPr>
              <w:pStyle w:val="Style26"/>
              <w:widowControl w:val="false"/>
              <w:jc w:val="center"/>
              <w:rPr>
                <w:rFonts w:ascii="Times New Roman" w:hAnsi="Times New Roman" w:cs="Times New Roman"/>
                <w:sz w:val="28"/>
                <w:szCs w:val="28"/>
              </w:rPr>
            </w:pPr>
            <w:r>
              <w:rPr>
                <w:rFonts w:cs="Times New Roman" w:ascii="Times New Roman" w:hAnsi="Times New Roman"/>
                <w:sz w:val="28"/>
                <w:szCs w:val="28"/>
              </w:rPr>
              <w:t>сильное загрязнение</w:t>
            </w:r>
          </w:p>
        </w:tc>
      </w:tr>
      <w:tr>
        <w:trPr/>
        <w:tc>
          <w:tcPr>
            <w:tcW w:w="1870" w:type="dxa"/>
            <w:tcBorders>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Всхожесть,%</w:t>
            </w:r>
          </w:p>
        </w:tc>
        <w:tc>
          <w:tcPr>
            <w:tcW w:w="1871" w:type="dxa"/>
            <w:tcBorders>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90-100</w:t>
            </w:r>
          </w:p>
        </w:tc>
        <w:tc>
          <w:tcPr>
            <w:tcW w:w="1871" w:type="dxa"/>
            <w:tcBorders>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65-90</w:t>
            </w:r>
          </w:p>
        </w:tc>
        <w:tc>
          <w:tcPr>
            <w:tcW w:w="1871" w:type="dxa"/>
            <w:tcBorders>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30-65</w:t>
            </w:r>
          </w:p>
        </w:tc>
        <w:tc>
          <w:tcPr>
            <w:tcW w:w="1871" w:type="dxa"/>
            <w:tcBorders>
              <w:left w:val="single" w:sz="2" w:space="0" w:color="000000"/>
              <w:bottom w:val="single" w:sz="2" w:space="0" w:color="000000"/>
              <w:right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&lt;30</w:t>
            </w:r>
          </w:p>
        </w:tc>
      </w:tr>
      <w:tr>
        <w:trPr/>
        <w:tc>
          <w:tcPr>
            <w:tcW w:w="1870" w:type="dxa"/>
            <w:tcBorders>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Индекс токсичности</w:t>
            </w:r>
          </w:p>
        </w:tc>
        <w:tc>
          <w:tcPr>
            <w:tcW w:w="1871" w:type="dxa"/>
            <w:tcBorders>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&lt;0,1</w:t>
            </w:r>
          </w:p>
        </w:tc>
        <w:tc>
          <w:tcPr>
            <w:tcW w:w="1871" w:type="dxa"/>
            <w:tcBorders>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0,1-0,35</w:t>
            </w:r>
          </w:p>
        </w:tc>
        <w:tc>
          <w:tcPr>
            <w:tcW w:w="1871" w:type="dxa"/>
            <w:tcBorders>
              <w:left w:val="single" w:sz="2" w:space="0" w:color="000000"/>
              <w:bottom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0,36-0,7</w:t>
            </w:r>
          </w:p>
        </w:tc>
        <w:tc>
          <w:tcPr>
            <w:tcW w:w="1871" w:type="dxa"/>
            <w:tcBorders>
              <w:left w:val="single" w:sz="2" w:space="0" w:color="000000"/>
              <w:bottom w:val="single" w:sz="2" w:space="0" w:color="000000"/>
              <w:right w:val="single" w:sz="2" w:space="0" w:color="000000"/>
            </w:tcBorders>
          </w:tcPr>
          <w:p>
            <w:pPr>
              <w:pStyle w:val="Style26"/>
              <w:widowControl w:val="false"/>
              <w:rPr>
                <w:rFonts w:ascii="Times New Roman" w:hAnsi="Times New Roman" w:cs="Times New Roman"/>
                <w:sz w:val="28"/>
                <w:szCs w:val="28"/>
              </w:rPr>
            </w:pPr>
            <w:r>
              <w:rPr>
                <w:rFonts w:cs="Times New Roman" w:ascii="Times New Roman" w:hAnsi="Times New Roman"/>
                <w:sz w:val="28"/>
                <w:szCs w:val="28"/>
              </w:rPr>
              <w:t>&gt;0,71</w:t>
            </w:r>
          </w:p>
        </w:tc>
      </w:tr>
    </w:tbl>
    <w:p>
      <w:pPr>
        <w:pStyle w:val="Normal"/>
        <w:shd w:val="clear" w:color="auto" w:fill="FFFFFF"/>
        <w:jc w:val="center"/>
        <w:rPr>
          <w:rFonts w:ascii="Times New Roman" w:hAnsi="Times New Roman" w:cs="Times New Roman"/>
          <w:color w:val="1A1A1A"/>
          <w:shd w:fill="FFFFFF" w:val="clear"/>
        </w:rPr>
      </w:pPr>
      <w:r>
        <w:rPr>
          <w:rFonts w:cs="Times New Roman" w:ascii="Times New Roman" w:hAnsi="Times New Roman"/>
          <w:color w:val="1A1A1A"/>
          <w:shd w:fill="FFFFFF" w:val="clear"/>
        </w:rPr>
      </w:r>
    </w:p>
    <w:p>
      <w:pPr>
        <w:pStyle w:val="Normal"/>
        <w:shd w:val="clear" w:color="auto" w:fill="FFFFFF"/>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tab/>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b/>
          <w:sz w:val="28"/>
          <w:szCs w:val="28"/>
          <w:lang w:eastAsia="ru-RU"/>
        </w:rPr>
        <w:t>3.4.</w:t>
      </w: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b/>
          <w:sz w:val="28"/>
          <w:szCs w:val="28"/>
          <w:lang w:eastAsia="ru-RU"/>
        </w:rPr>
        <w:t>Биоиндикация качества воды на определённых участках по макрофитам озера Невель</w:t>
      </w:r>
    </w:p>
    <w:p>
      <w:pPr>
        <w:pStyle w:val="Normal"/>
        <w:ind w:firstLine="567"/>
        <w:jc w:val="both"/>
        <w:rPr>
          <w:rFonts w:ascii="Times New Roman" w:hAnsi="Times New Roman" w:cs="Times New Roman"/>
          <w:sz w:val="28"/>
          <w:szCs w:val="28"/>
        </w:rPr>
      </w:pPr>
      <w:r>
        <w:rPr>
          <w:rFonts w:eastAsia="Times New Roman" w:cs="Times New Roman" w:ascii="Times New Roman" w:hAnsi="Times New Roman"/>
          <w:color w:val="000000"/>
          <w:sz w:val="28"/>
          <w:szCs w:val="28"/>
          <w:lang w:eastAsia="ru-RU"/>
        </w:rPr>
        <w:t>Многие водоемы сейчас загрязнены, как органическими веществами, так и сбросами различных промышленных предприятий. Водоемы, загрязненные органическими веществами, как и организмы, способные жить в них, называют сапробными (от греческого слова «сапрос» – гнилой).</w:t>
      </w:r>
    </w:p>
    <w:p>
      <w:pPr>
        <w:pStyle w:val="Normal"/>
        <w:ind w:firstLine="567"/>
        <w:jc w:val="both"/>
        <w:rPr>
          <w:rFonts w:ascii="Times New Roman" w:hAnsi="Times New Roman" w:cs="Times New Roman"/>
          <w:sz w:val="28"/>
          <w:szCs w:val="28"/>
        </w:rPr>
      </w:pPr>
      <w:r>
        <w:rPr>
          <w:rFonts w:eastAsia="Times New Roman" w:cs="Times New Roman" w:ascii="Times New Roman" w:hAnsi="Times New Roman"/>
          <w:color w:val="000000"/>
          <w:sz w:val="28"/>
          <w:szCs w:val="28"/>
          <w:lang w:eastAsia="ru-RU"/>
        </w:rPr>
        <w:t>Сапробность находится во взаимосвязи с видовым составом и численностью обитателей водоема.</w:t>
      </w:r>
    </w:p>
    <w:p>
      <w:pPr>
        <w:pStyle w:val="Normal"/>
        <w:ind w:firstLine="567"/>
        <w:jc w:val="both"/>
        <w:rPr>
          <w:rFonts w:ascii="Times New Roman" w:hAnsi="Times New Roman" w:cs="Times New Roman"/>
          <w:sz w:val="28"/>
          <w:szCs w:val="28"/>
        </w:rPr>
      </w:pPr>
      <w:r>
        <w:rPr>
          <w:rFonts w:eastAsia="Times New Roman" w:cs="Times New Roman" w:ascii="Times New Roman" w:hAnsi="Times New Roman"/>
          <w:color w:val="000000"/>
          <w:sz w:val="28"/>
          <w:szCs w:val="28"/>
          <w:lang w:eastAsia="ru-RU"/>
        </w:rPr>
        <w:t xml:space="preserve">В биоиндикации водоемов сообщества макрофитов используются менее широко по сравнению с представителями зообентоса. Это связано с тем, что растения обладают довольно широкими географическими и экологическими ареалами, причем в различных физико-географических условиях одни и те же виды могут иметь разное индикаторное значение. </w:t>
      </w:r>
    </w:p>
    <w:p>
      <w:pPr>
        <w:pStyle w:val="Normal"/>
        <w:ind w:firstLine="567"/>
        <w:jc w:val="both"/>
        <w:rPr>
          <w:rFonts w:ascii="Times New Roman" w:hAnsi="Times New Roman" w:cs="Times New Roman"/>
          <w:sz w:val="28"/>
          <w:szCs w:val="28"/>
        </w:rPr>
      </w:pPr>
      <w:r>
        <w:rPr>
          <w:rFonts w:eastAsia="Times New Roman" w:cs="Times New Roman" w:ascii="Times New Roman" w:hAnsi="Times New Roman"/>
          <w:color w:val="000000"/>
          <w:sz w:val="28"/>
          <w:szCs w:val="28"/>
          <w:lang w:eastAsia="ru-RU"/>
        </w:rPr>
        <w:t xml:space="preserve">Мы использовали методику Власова Б. П. , Гигевича Г.С. </w:t>
      </w:r>
      <w:r>
        <w:rPr>
          <w:rFonts w:cs="Times New Roman" w:ascii="Times New Roman" w:hAnsi="Times New Roman"/>
          <w:sz w:val="28"/>
          <w:szCs w:val="28"/>
        </w:rPr>
        <w:t>[6]</w:t>
      </w:r>
      <w:r>
        <w:rPr>
          <w:rFonts w:eastAsia="Times New Roman" w:cs="Times New Roman" w:ascii="Times New Roman" w:hAnsi="Times New Roman"/>
          <w:color w:val="000000"/>
          <w:sz w:val="28"/>
          <w:szCs w:val="28"/>
          <w:lang w:eastAsia="ru-RU"/>
        </w:rPr>
        <w:t xml:space="preserve"> по определению загрязнений   водоёмов Республики Беларусь (Приложение 6). </w:t>
      </w:r>
    </w:p>
    <w:p>
      <w:pPr>
        <w:pStyle w:val="Normal"/>
        <w:ind w:firstLine="567"/>
        <w:jc w:val="both"/>
        <w:rPr>
          <w:rFonts w:ascii="Times New Roman" w:hAnsi="Times New Roman" w:cs="Times New Roman"/>
          <w:sz w:val="28"/>
          <w:szCs w:val="28"/>
        </w:rPr>
      </w:pPr>
      <w:r>
        <w:rPr>
          <w:rFonts w:eastAsia="Times New Roman" w:cs="Times New Roman" w:ascii="Times New Roman" w:hAnsi="Times New Roman"/>
          <w:color w:val="000000"/>
          <w:sz w:val="28"/>
          <w:szCs w:val="28"/>
          <w:lang w:eastAsia="ru-RU"/>
        </w:rPr>
        <w:t>В случае исследования макрофитов озера Невель загрязнения можно определить с большой точностью, так как Невельский район расположен на границе с республикой Беларусь.</w:t>
      </w:r>
    </w:p>
    <w:p>
      <w:pPr>
        <w:pStyle w:val="Normal"/>
        <w:ind w:firstLine="567"/>
        <w:jc w:val="both"/>
        <w:rPr>
          <w:rFonts w:ascii="Times New Roman" w:hAnsi="Times New Roman" w:cs="Times New Roman"/>
          <w:sz w:val="28"/>
          <w:szCs w:val="28"/>
        </w:rPr>
      </w:pPr>
      <w:r>
        <w:rPr>
          <w:rFonts w:eastAsia="Times New Roman" w:cs="Times New Roman" w:ascii="Times New Roman" w:hAnsi="Times New Roman"/>
          <w:color w:val="000000"/>
          <w:sz w:val="28"/>
          <w:szCs w:val="28"/>
          <w:lang w:eastAsia="ru-RU"/>
        </w:rPr>
        <w:t>Методика исследования. На берегу озера выбрали три участка, подходящих для исследования.</w:t>
      </w:r>
      <w:r>
        <w:rPr>
          <w:rFonts w:eastAsia="Times New Roman" w:cs="Times New Roman" w:ascii="Times New Roman" w:hAnsi="Times New Roman"/>
          <w:color w:val="333333"/>
          <w:sz w:val="28"/>
          <w:szCs w:val="28"/>
          <w:lang w:eastAsia="ru-RU"/>
        </w:rPr>
        <w:t xml:space="preserve"> </w:t>
      </w:r>
      <w:r>
        <w:rPr>
          <w:rFonts w:eastAsia="Times New Roman" w:cs="Times New Roman" w:ascii="Times New Roman" w:hAnsi="Times New Roman"/>
          <w:color w:val="000000"/>
          <w:sz w:val="28"/>
          <w:szCs w:val="28"/>
          <w:lang w:eastAsia="ru-RU"/>
        </w:rPr>
        <w:t>На каждом участке заложить по 1-й пробной площадке размером 5м х 5м и провели исследование прибрежно-водной растительности. Виды растений устанавливали по определителям [10,11 ].</w:t>
      </w:r>
    </w:p>
    <w:p>
      <w:pPr>
        <w:pStyle w:val="Normal"/>
        <w:ind w:firstLine="567"/>
        <w:jc w:val="both"/>
        <w:rPr>
          <w:rFonts w:ascii="Times New Roman" w:hAnsi="Times New Roman" w:cs="Times New Roman"/>
          <w:sz w:val="28"/>
          <w:szCs w:val="28"/>
        </w:rPr>
      </w:pPr>
      <w:r>
        <w:rPr>
          <w:rFonts w:eastAsia="Times New Roman" w:cs="Times New Roman" w:ascii="Times New Roman" w:hAnsi="Times New Roman"/>
          <w:color w:val="000000"/>
          <w:sz w:val="28"/>
          <w:szCs w:val="28"/>
          <w:lang w:eastAsia="ru-RU"/>
        </w:rPr>
        <w:t>Выявили виды-индикаторы на каждом участке и выяснили, о каких типах загрязнений воды они свидетельствуют (Приложение 6)</w:t>
      </w:r>
    </w:p>
    <w:p>
      <w:pPr>
        <w:pStyle w:val="Normal"/>
        <w:ind w:firstLine="567"/>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p>
      <w:pPr>
        <w:pStyle w:val="Normal"/>
        <w:shd w:val="clear" w:color="auto" w:fill="FFFFFF"/>
        <w:jc w:val="center"/>
        <w:rPr>
          <w:rFonts w:ascii="Times New Roman" w:hAnsi="Times New Roman" w:eastAsia="Times New Roman" w:cs="Times New Roman"/>
          <w:b/>
          <w:b/>
          <w:color w:val="1A1A1A"/>
          <w:sz w:val="28"/>
          <w:szCs w:val="28"/>
          <w:lang w:eastAsia="ru-RU"/>
        </w:rPr>
      </w:pPr>
      <w:r>
        <w:rPr>
          <w:rFonts w:eastAsia="Times New Roman" w:cs="Times New Roman" w:ascii="Times New Roman" w:hAnsi="Times New Roman"/>
          <w:b/>
          <w:color w:val="1A1A1A"/>
          <w:sz w:val="28"/>
          <w:szCs w:val="28"/>
          <w:lang w:eastAsia="ru-RU"/>
        </w:rPr>
      </w:r>
    </w:p>
    <w:p>
      <w:pPr>
        <w:pStyle w:val="Normal"/>
        <w:shd w:val="clear" w:color="auto" w:fill="FFFFFF"/>
        <w:jc w:val="center"/>
        <w:rPr>
          <w:rFonts w:ascii="Times New Roman" w:hAnsi="Times New Roman" w:cs="Times New Roman"/>
          <w:sz w:val="28"/>
          <w:szCs w:val="28"/>
        </w:rPr>
      </w:pPr>
      <w:r>
        <w:rPr>
          <w:rFonts w:eastAsia="Times New Roman" w:cs="Times New Roman" w:ascii="Times New Roman" w:hAnsi="Times New Roman"/>
          <w:b/>
          <w:color w:val="1A1A1A"/>
          <w:sz w:val="28"/>
          <w:szCs w:val="28"/>
          <w:lang w:eastAsia="ru-RU"/>
        </w:rPr>
        <w:t>4. Результаты исследований и их обсуждение</w:t>
      </w:r>
    </w:p>
    <w:p>
      <w:pPr>
        <w:pStyle w:val="Normal"/>
        <w:shd w:val="clear" w:color="auto" w:fill="FFFFFF"/>
        <w:jc w:val="center"/>
        <w:rPr>
          <w:rFonts w:ascii="Times New Roman" w:hAnsi="Times New Roman" w:eastAsia="Times New Roman" w:cs="Times New Roman"/>
          <w:b/>
          <w:b/>
          <w:color w:val="1A1A1A"/>
          <w:lang w:eastAsia="ru-RU"/>
        </w:rPr>
      </w:pPr>
      <w:r>
        <w:rPr>
          <w:rFonts w:eastAsia="Times New Roman" w:cs="Times New Roman" w:ascii="Times New Roman" w:hAnsi="Times New Roman"/>
          <w:b/>
          <w:color w:val="1A1A1A"/>
          <w:lang w:eastAsia="ru-RU"/>
        </w:rPr>
      </w:r>
    </w:p>
    <w:p>
      <w:pPr>
        <w:pStyle w:val="NormalWeb"/>
        <w:shd w:val="clear" w:color="auto" w:fill="FFFFFF"/>
        <w:jc w:val="center"/>
        <w:rPr>
          <w:sz w:val="28"/>
          <w:szCs w:val="28"/>
        </w:rPr>
      </w:pPr>
      <w:r>
        <w:rPr>
          <w:b/>
          <w:sz w:val="28"/>
          <w:szCs w:val="28"/>
        </w:rPr>
        <w:t>4.1. Результаты биотестирования исследуемых проб озёрной воды по всхожести  лука репчатого</w:t>
      </w:r>
    </w:p>
    <w:p>
      <w:pPr>
        <w:pStyle w:val="NormalWeb"/>
        <w:shd w:val="clear" w:color="auto" w:fill="FFFFFF"/>
        <w:rPr>
          <w:b/>
          <w:b/>
        </w:rPr>
      </w:pPr>
      <w:r>
        <w:rPr>
          <w:b/>
        </w:rPr>
      </w:r>
    </w:p>
    <w:p>
      <w:pPr>
        <w:pStyle w:val="NormalWeb"/>
        <w:shd w:val="clear" w:color="auto" w:fill="FFFFFF"/>
        <w:jc w:val="center"/>
        <w:rPr>
          <w:sz w:val="28"/>
          <w:szCs w:val="28"/>
        </w:rPr>
      </w:pPr>
      <w:r>
        <w:rPr>
          <w:sz w:val="28"/>
          <w:szCs w:val="28"/>
        </w:rPr>
        <w:t>Таблица 3. Длина корня лука на седьмые сутки (в см)</w:t>
      </w:r>
    </w:p>
    <w:tbl>
      <w:tblPr>
        <w:tblStyle w:val="af5"/>
        <w:tblW w:w="957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114"/>
        <w:gridCol w:w="565"/>
        <w:gridCol w:w="695"/>
        <w:gridCol w:w="629"/>
        <w:gridCol w:w="627"/>
        <w:gridCol w:w="629"/>
        <w:gridCol w:w="631"/>
        <w:gridCol w:w="629"/>
        <w:gridCol w:w="627"/>
        <w:gridCol w:w="568"/>
        <w:gridCol w:w="638"/>
        <w:gridCol w:w="1217"/>
      </w:tblGrid>
      <w:tr>
        <w:trPr>
          <w:trHeight w:val="97" w:hRule="atLeast"/>
        </w:trPr>
        <w:tc>
          <w:tcPr>
            <w:tcW w:w="2114" w:type="dxa"/>
            <w:vMerge w:val="restart"/>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 xml:space="preserve">№ </w:t>
            </w:r>
            <w:r>
              <w:rPr>
                <w:kern w:val="0"/>
                <w:sz w:val="28"/>
                <w:szCs w:val="28"/>
                <w:lang w:val="ru-RU" w:bidi="ar-SA"/>
              </w:rPr>
              <w:t>луковицы</w:t>
            </w:r>
          </w:p>
        </w:tc>
        <w:tc>
          <w:tcPr>
            <w:tcW w:w="6238" w:type="dxa"/>
            <w:gridSpan w:val="10"/>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Средняя длина корня</w:t>
            </w:r>
          </w:p>
        </w:tc>
        <w:tc>
          <w:tcPr>
            <w:tcW w:w="1217" w:type="dxa"/>
            <w:vMerge w:val="restart"/>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Средняя</w:t>
            </w:r>
          </w:p>
          <w:p>
            <w:pPr>
              <w:pStyle w:val="NormalWeb"/>
              <w:widowControl/>
              <w:suppressAutoHyphens w:val="true"/>
              <w:spacing w:beforeAutospacing="0" w:before="0" w:afterAutospacing="0" w:after="280"/>
              <w:jc w:val="center"/>
              <w:rPr>
                <w:sz w:val="28"/>
                <w:szCs w:val="28"/>
              </w:rPr>
            </w:pPr>
            <w:r>
              <w:rPr>
                <w:kern w:val="0"/>
                <w:sz w:val="28"/>
                <w:szCs w:val="28"/>
                <w:lang w:val="ru-RU" w:bidi="ar-SA"/>
              </w:rPr>
              <w:t>длина корней 10 луковиц</w:t>
            </w:r>
          </w:p>
        </w:tc>
      </w:tr>
      <w:tr>
        <w:trPr>
          <w:trHeight w:val="451" w:hRule="atLeast"/>
        </w:trPr>
        <w:tc>
          <w:tcPr>
            <w:tcW w:w="2114" w:type="dxa"/>
            <w:vMerge w:val="continue"/>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r>
          </w:p>
        </w:tc>
        <w:tc>
          <w:tcPr>
            <w:tcW w:w="565" w:type="dxa"/>
            <w:tcBorders/>
            <w:vAlign w:val="center"/>
          </w:tcPr>
          <w:p>
            <w:pPr>
              <w:pStyle w:val="NormalWeb"/>
              <w:widowControl/>
              <w:suppressAutoHyphens w:val="true"/>
              <w:spacing w:before="0" w:after="0"/>
              <w:jc w:val="center"/>
              <w:rPr>
                <w:sz w:val="28"/>
                <w:szCs w:val="28"/>
              </w:rPr>
            </w:pPr>
            <w:r>
              <w:rPr>
                <w:kern w:val="0"/>
                <w:sz w:val="28"/>
                <w:szCs w:val="28"/>
                <w:lang w:val="ru-RU" w:bidi="ar-SA"/>
              </w:rPr>
              <w:t>1</w:t>
            </w:r>
          </w:p>
        </w:tc>
        <w:tc>
          <w:tcPr>
            <w:tcW w:w="695" w:type="dxa"/>
            <w:tcBorders/>
            <w:vAlign w:val="center"/>
          </w:tcPr>
          <w:p>
            <w:pPr>
              <w:pStyle w:val="NormalWeb"/>
              <w:widowControl/>
              <w:suppressAutoHyphens w:val="true"/>
              <w:spacing w:before="0" w:after="0"/>
              <w:jc w:val="center"/>
              <w:rPr>
                <w:sz w:val="28"/>
                <w:szCs w:val="28"/>
              </w:rPr>
            </w:pPr>
            <w:r>
              <w:rPr>
                <w:kern w:val="0"/>
                <w:sz w:val="28"/>
                <w:szCs w:val="28"/>
                <w:lang w:val="ru-RU" w:bidi="ar-SA"/>
              </w:rPr>
              <w:t>2</w:t>
            </w:r>
          </w:p>
        </w:tc>
        <w:tc>
          <w:tcPr>
            <w:tcW w:w="629" w:type="dxa"/>
            <w:tcBorders/>
            <w:vAlign w:val="center"/>
          </w:tcPr>
          <w:p>
            <w:pPr>
              <w:pStyle w:val="NormalWeb"/>
              <w:widowControl/>
              <w:suppressAutoHyphens w:val="true"/>
              <w:spacing w:before="0" w:after="0"/>
              <w:jc w:val="center"/>
              <w:rPr>
                <w:sz w:val="28"/>
                <w:szCs w:val="28"/>
              </w:rPr>
            </w:pPr>
            <w:r>
              <w:rPr>
                <w:kern w:val="0"/>
                <w:sz w:val="28"/>
                <w:szCs w:val="28"/>
                <w:lang w:val="ru-RU" w:bidi="ar-SA"/>
              </w:rPr>
              <w:t>3</w:t>
            </w:r>
          </w:p>
        </w:tc>
        <w:tc>
          <w:tcPr>
            <w:tcW w:w="627" w:type="dxa"/>
            <w:tcBorders/>
            <w:vAlign w:val="center"/>
          </w:tcPr>
          <w:p>
            <w:pPr>
              <w:pStyle w:val="NormalWeb"/>
              <w:widowControl/>
              <w:suppressAutoHyphens w:val="true"/>
              <w:spacing w:before="0" w:after="0"/>
              <w:jc w:val="center"/>
              <w:rPr>
                <w:sz w:val="28"/>
                <w:szCs w:val="28"/>
              </w:rPr>
            </w:pPr>
            <w:r>
              <w:rPr>
                <w:kern w:val="0"/>
                <w:sz w:val="28"/>
                <w:szCs w:val="28"/>
                <w:lang w:val="ru-RU" w:bidi="ar-SA"/>
              </w:rPr>
              <w:t>4</w:t>
            </w:r>
          </w:p>
        </w:tc>
        <w:tc>
          <w:tcPr>
            <w:tcW w:w="629" w:type="dxa"/>
            <w:tcBorders/>
            <w:vAlign w:val="center"/>
          </w:tcPr>
          <w:p>
            <w:pPr>
              <w:pStyle w:val="NormalWeb"/>
              <w:widowControl/>
              <w:suppressAutoHyphens w:val="true"/>
              <w:spacing w:before="0" w:after="0"/>
              <w:jc w:val="center"/>
              <w:rPr>
                <w:sz w:val="28"/>
                <w:szCs w:val="28"/>
              </w:rPr>
            </w:pPr>
            <w:r>
              <w:rPr>
                <w:kern w:val="0"/>
                <w:sz w:val="28"/>
                <w:szCs w:val="28"/>
                <w:lang w:val="ru-RU" w:bidi="ar-SA"/>
              </w:rPr>
              <w:t>5</w:t>
            </w:r>
          </w:p>
        </w:tc>
        <w:tc>
          <w:tcPr>
            <w:tcW w:w="631" w:type="dxa"/>
            <w:tcBorders/>
            <w:vAlign w:val="center"/>
          </w:tcPr>
          <w:p>
            <w:pPr>
              <w:pStyle w:val="NormalWeb"/>
              <w:widowControl/>
              <w:suppressAutoHyphens w:val="true"/>
              <w:spacing w:before="0" w:after="0"/>
              <w:jc w:val="center"/>
              <w:rPr>
                <w:sz w:val="28"/>
                <w:szCs w:val="28"/>
              </w:rPr>
            </w:pPr>
            <w:r>
              <w:rPr>
                <w:kern w:val="0"/>
                <w:sz w:val="28"/>
                <w:szCs w:val="28"/>
                <w:lang w:val="ru-RU" w:bidi="ar-SA"/>
              </w:rPr>
              <w:t>6</w:t>
            </w:r>
          </w:p>
        </w:tc>
        <w:tc>
          <w:tcPr>
            <w:tcW w:w="629" w:type="dxa"/>
            <w:tcBorders/>
            <w:vAlign w:val="center"/>
          </w:tcPr>
          <w:p>
            <w:pPr>
              <w:pStyle w:val="NormalWeb"/>
              <w:widowControl/>
              <w:suppressAutoHyphens w:val="true"/>
              <w:spacing w:before="0" w:after="0"/>
              <w:jc w:val="center"/>
              <w:rPr>
                <w:sz w:val="28"/>
                <w:szCs w:val="28"/>
              </w:rPr>
            </w:pPr>
            <w:r>
              <w:rPr>
                <w:kern w:val="0"/>
                <w:sz w:val="28"/>
                <w:szCs w:val="28"/>
                <w:lang w:val="ru-RU" w:bidi="ar-SA"/>
              </w:rPr>
              <w:t>7</w:t>
            </w:r>
          </w:p>
        </w:tc>
        <w:tc>
          <w:tcPr>
            <w:tcW w:w="627" w:type="dxa"/>
            <w:tcBorders/>
            <w:vAlign w:val="center"/>
          </w:tcPr>
          <w:p>
            <w:pPr>
              <w:pStyle w:val="NormalWeb"/>
              <w:widowControl/>
              <w:suppressAutoHyphens w:val="true"/>
              <w:spacing w:before="0" w:after="0"/>
              <w:jc w:val="center"/>
              <w:rPr>
                <w:sz w:val="28"/>
                <w:szCs w:val="28"/>
              </w:rPr>
            </w:pPr>
            <w:r>
              <w:rPr>
                <w:kern w:val="0"/>
                <w:sz w:val="28"/>
                <w:szCs w:val="28"/>
                <w:lang w:val="ru-RU" w:bidi="ar-SA"/>
              </w:rPr>
              <w:t>8</w:t>
            </w:r>
          </w:p>
        </w:tc>
        <w:tc>
          <w:tcPr>
            <w:tcW w:w="568" w:type="dxa"/>
            <w:tcBorders/>
            <w:vAlign w:val="center"/>
          </w:tcPr>
          <w:p>
            <w:pPr>
              <w:pStyle w:val="NormalWeb"/>
              <w:widowControl/>
              <w:suppressAutoHyphens w:val="true"/>
              <w:spacing w:before="0" w:after="0"/>
              <w:jc w:val="center"/>
              <w:rPr>
                <w:sz w:val="28"/>
                <w:szCs w:val="28"/>
              </w:rPr>
            </w:pPr>
            <w:r>
              <w:rPr>
                <w:kern w:val="0"/>
                <w:sz w:val="28"/>
                <w:szCs w:val="28"/>
                <w:lang w:val="ru-RU" w:bidi="ar-SA"/>
              </w:rPr>
              <w:t>9</w:t>
            </w:r>
          </w:p>
        </w:tc>
        <w:tc>
          <w:tcPr>
            <w:tcW w:w="638" w:type="dxa"/>
            <w:tcBorders/>
            <w:vAlign w:val="center"/>
          </w:tcPr>
          <w:p>
            <w:pPr>
              <w:pStyle w:val="NormalWeb"/>
              <w:widowControl/>
              <w:suppressAutoHyphens w:val="true"/>
              <w:spacing w:before="0" w:after="0"/>
              <w:jc w:val="center"/>
              <w:rPr>
                <w:sz w:val="28"/>
                <w:szCs w:val="28"/>
              </w:rPr>
            </w:pPr>
            <w:r>
              <w:rPr>
                <w:kern w:val="0"/>
                <w:sz w:val="28"/>
                <w:szCs w:val="28"/>
                <w:lang w:val="ru-RU" w:bidi="ar-SA"/>
              </w:rPr>
              <w:t>10</w:t>
            </w:r>
          </w:p>
        </w:tc>
        <w:tc>
          <w:tcPr>
            <w:tcW w:w="1217" w:type="dxa"/>
            <w:vMerge w:val="continue"/>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r>
          </w:p>
        </w:tc>
      </w:tr>
      <w:tr>
        <w:trPr/>
        <w:tc>
          <w:tcPr>
            <w:tcW w:w="2114"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Участок №1</w:t>
            </w:r>
          </w:p>
        </w:tc>
        <w:tc>
          <w:tcPr>
            <w:tcW w:w="565"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3,1</w:t>
            </w:r>
          </w:p>
        </w:tc>
        <w:tc>
          <w:tcPr>
            <w:tcW w:w="695"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2,2</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2,8</w:t>
            </w:r>
          </w:p>
        </w:tc>
        <w:tc>
          <w:tcPr>
            <w:tcW w:w="62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 xml:space="preserve"> </w:t>
            </w:r>
            <w:r>
              <w:rPr>
                <w:kern w:val="0"/>
                <w:sz w:val="27"/>
                <w:szCs w:val="27"/>
                <w:lang w:val="ru-RU" w:bidi="ar-SA"/>
              </w:rPr>
              <w:t>3,0</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3,3</w:t>
            </w:r>
          </w:p>
        </w:tc>
        <w:tc>
          <w:tcPr>
            <w:tcW w:w="631"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2,5</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2,7</w:t>
            </w:r>
          </w:p>
        </w:tc>
        <w:tc>
          <w:tcPr>
            <w:tcW w:w="62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2,9</w:t>
            </w:r>
          </w:p>
        </w:tc>
        <w:tc>
          <w:tcPr>
            <w:tcW w:w="568"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3,6</w:t>
            </w:r>
          </w:p>
        </w:tc>
        <w:tc>
          <w:tcPr>
            <w:tcW w:w="638"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3,2</w:t>
            </w:r>
          </w:p>
        </w:tc>
        <w:tc>
          <w:tcPr>
            <w:tcW w:w="121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2,9</w:t>
            </w:r>
          </w:p>
        </w:tc>
      </w:tr>
      <w:tr>
        <w:trPr/>
        <w:tc>
          <w:tcPr>
            <w:tcW w:w="2114"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Участок №2</w:t>
            </w:r>
          </w:p>
        </w:tc>
        <w:tc>
          <w:tcPr>
            <w:tcW w:w="565"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2,2</w:t>
            </w:r>
          </w:p>
        </w:tc>
        <w:tc>
          <w:tcPr>
            <w:tcW w:w="695"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2,8</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2,6</w:t>
            </w:r>
          </w:p>
        </w:tc>
        <w:tc>
          <w:tcPr>
            <w:tcW w:w="62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3,1</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2,5</w:t>
            </w:r>
          </w:p>
        </w:tc>
        <w:tc>
          <w:tcPr>
            <w:tcW w:w="631"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2,9</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3,0</w:t>
            </w:r>
          </w:p>
        </w:tc>
        <w:tc>
          <w:tcPr>
            <w:tcW w:w="62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3,1</w:t>
            </w:r>
          </w:p>
        </w:tc>
        <w:tc>
          <w:tcPr>
            <w:tcW w:w="568"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2,8</w:t>
            </w:r>
          </w:p>
        </w:tc>
        <w:tc>
          <w:tcPr>
            <w:tcW w:w="638"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2,6</w:t>
            </w:r>
          </w:p>
        </w:tc>
        <w:tc>
          <w:tcPr>
            <w:tcW w:w="121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2,7</w:t>
            </w:r>
          </w:p>
        </w:tc>
      </w:tr>
      <w:tr>
        <w:trPr/>
        <w:tc>
          <w:tcPr>
            <w:tcW w:w="2114"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Участок №3</w:t>
            </w:r>
          </w:p>
        </w:tc>
        <w:tc>
          <w:tcPr>
            <w:tcW w:w="565"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2,4</w:t>
            </w:r>
          </w:p>
        </w:tc>
        <w:tc>
          <w:tcPr>
            <w:tcW w:w="695"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3,2</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3,8</w:t>
            </w:r>
          </w:p>
        </w:tc>
        <w:tc>
          <w:tcPr>
            <w:tcW w:w="62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2,7</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3,5</w:t>
            </w:r>
          </w:p>
        </w:tc>
        <w:tc>
          <w:tcPr>
            <w:tcW w:w="631"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3,1</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2,3</w:t>
            </w:r>
          </w:p>
        </w:tc>
        <w:tc>
          <w:tcPr>
            <w:tcW w:w="62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3,7</w:t>
            </w:r>
          </w:p>
        </w:tc>
        <w:tc>
          <w:tcPr>
            <w:tcW w:w="568"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4,1</w:t>
            </w:r>
          </w:p>
        </w:tc>
        <w:tc>
          <w:tcPr>
            <w:tcW w:w="638"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3,1</w:t>
            </w:r>
          </w:p>
        </w:tc>
        <w:tc>
          <w:tcPr>
            <w:tcW w:w="121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3,1</w:t>
            </w:r>
          </w:p>
        </w:tc>
      </w:tr>
      <w:tr>
        <w:trPr/>
        <w:tc>
          <w:tcPr>
            <w:tcW w:w="2114"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Контроль (водопроводная вода)</w:t>
            </w:r>
          </w:p>
        </w:tc>
        <w:tc>
          <w:tcPr>
            <w:tcW w:w="565"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3,1</w:t>
            </w:r>
          </w:p>
        </w:tc>
        <w:tc>
          <w:tcPr>
            <w:tcW w:w="695"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2, 9</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3,2</w:t>
            </w:r>
          </w:p>
        </w:tc>
        <w:tc>
          <w:tcPr>
            <w:tcW w:w="62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3,0</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3,3</w:t>
            </w:r>
          </w:p>
        </w:tc>
        <w:tc>
          <w:tcPr>
            <w:tcW w:w="631"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3,2</w:t>
            </w:r>
          </w:p>
        </w:tc>
        <w:tc>
          <w:tcPr>
            <w:tcW w:w="629"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2,8</w:t>
            </w:r>
          </w:p>
        </w:tc>
        <w:tc>
          <w:tcPr>
            <w:tcW w:w="62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3,4</w:t>
            </w:r>
          </w:p>
        </w:tc>
        <w:tc>
          <w:tcPr>
            <w:tcW w:w="568"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3,6</w:t>
            </w:r>
          </w:p>
        </w:tc>
        <w:tc>
          <w:tcPr>
            <w:tcW w:w="638"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3,8</w:t>
            </w:r>
          </w:p>
        </w:tc>
        <w:tc>
          <w:tcPr>
            <w:tcW w:w="1217" w:type="dxa"/>
            <w:tcBorders/>
            <w:vAlign w:val="center"/>
          </w:tcPr>
          <w:p>
            <w:pPr>
              <w:pStyle w:val="NormalWeb"/>
              <w:widowControl/>
              <w:suppressAutoHyphens w:val="true"/>
              <w:spacing w:beforeAutospacing="0" w:before="0" w:afterAutospacing="0" w:after="280"/>
              <w:jc w:val="center"/>
              <w:rPr>
                <w:sz w:val="27"/>
                <w:szCs w:val="27"/>
              </w:rPr>
            </w:pPr>
            <w:r>
              <w:rPr>
                <w:kern w:val="0"/>
                <w:sz w:val="27"/>
                <w:szCs w:val="27"/>
                <w:lang w:val="ru-RU" w:bidi="ar-SA"/>
              </w:rPr>
              <w:t>3,2</w:t>
            </w:r>
          </w:p>
        </w:tc>
      </w:tr>
    </w:tbl>
    <w:p>
      <w:pPr>
        <w:pStyle w:val="NormalWeb"/>
        <w:shd w:val="clear" w:color="auto" w:fill="FFFFFF"/>
        <w:rPr>
          <w:b/>
          <w:b/>
          <w:sz w:val="28"/>
          <w:szCs w:val="28"/>
        </w:rPr>
      </w:pPr>
      <w:r>
        <w:rPr>
          <w:b/>
          <w:sz w:val="28"/>
          <w:szCs w:val="28"/>
        </w:rPr>
      </w:r>
    </w:p>
    <w:p>
      <w:pPr>
        <w:pStyle w:val="NormalWeb"/>
        <w:shd w:val="clear" w:color="auto" w:fill="FFFFFF"/>
        <w:jc w:val="center"/>
        <w:rPr>
          <w:sz w:val="28"/>
          <w:szCs w:val="28"/>
        </w:rPr>
      </w:pPr>
      <w:r>
        <w:rPr>
          <w:sz w:val="28"/>
          <w:szCs w:val="28"/>
        </w:rPr>
      </w:r>
    </w:p>
    <w:p>
      <w:pPr>
        <w:pStyle w:val="NormalWeb"/>
        <w:shd w:val="clear" w:color="auto" w:fill="FFFFFF"/>
        <w:jc w:val="center"/>
        <w:rPr>
          <w:sz w:val="28"/>
          <w:szCs w:val="28"/>
        </w:rPr>
      </w:pPr>
      <w:r>
        <w:rPr>
          <w:sz w:val="28"/>
          <w:szCs w:val="28"/>
        </w:rPr>
        <w:t>Таблица4.  Индекс токсичности фактора</w:t>
      </w:r>
    </w:p>
    <w:tbl>
      <w:tblPr>
        <w:tblStyle w:val="af5"/>
        <w:tblW w:w="957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390"/>
        <w:gridCol w:w="2395"/>
        <w:gridCol w:w="2393"/>
        <w:gridCol w:w="2391"/>
      </w:tblGrid>
      <w:tr>
        <w:trPr/>
        <w:tc>
          <w:tcPr>
            <w:tcW w:w="2390"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Номер участка</w:t>
            </w:r>
          </w:p>
        </w:tc>
        <w:tc>
          <w:tcPr>
            <w:tcW w:w="2395"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Участок№1</w:t>
            </w:r>
          </w:p>
        </w:tc>
        <w:tc>
          <w:tcPr>
            <w:tcW w:w="2393"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Участок№2</w:t>
            </w:r>
          </w:p>
        </w:tc>
        <w:tc>
          <w:tcPr>
            <w:tcW w:w="2391"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Участок№3</w:t>
            </w:r>
          </w:p>
        </w:tc>
      </w:tr>
      <w:tr>
        <w:trPr/>
        <w:tc>
          <w:tcPr>
            <w:tcW w:w="2390" w:type="dxa"/>
            <w:tcBorders/>
            <w:vAlign w:val="center"/>
          </w:tcPr>
          <w:p>
            <w:pPr>
              <w:pStyle w:val="NormalWeb"/>
              <w:widowControl/>
              <w:suppressAutoHyphens w:val="true"/>
              <w:spacing w:beforeAutospacing="0" w:before="0" w:afterAutospacing="0" w:after="280"/>
              <w:jc w:val="left"/>
              <w:rPr>
                <w:sz w:val="28"/>
                <w:szCs w:val="28"/>
              </w:rPr>
            </w:pPr>
            <w:r>
              <w:rPr>
                <w:kern w:val="0"/>
                <w:sz w:val="28"/>
                <w:szCs w:val="28"/>
                <w:lang w:val="ru-RU" w:bidi="ar-SA"/>
              </w:rPr>
              <w:t>Величина токсичности (ИТФ)</w:t>
            </w:r>
          </w:p>
        </w:tc>
        <w:tc>
          <w:tcPr>
            <w:tcW w:w="2395"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0,9</w:t>
            </w:r>
          </w:p>
        </w:tc>
        <w:tc>
          <w:tcPr>
            <w:tcW w:w="2393"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0,84</w:t>
            </w:r>
          </w:p>
        </w:tc>
        <w:tc>
          <w:tcPr>
            <w:tcW w:w="2391"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0,96</w:t>
            </w:r>
          </w:p>
        </w:tc>
      </w:tr>
      <w:tr>
        <w:trPr/>
        <w:tc>
          <w:tcPr>
            <w:tcW w:w="2390" w:type="dxa"/>
            <w:tcBorders/>
            <w:vAlign w:val="center"/>
          </w:tcPr>
          <w:p>
            <w:pPr>
              <w:pStyle w:val="NormalWeb"/>
              <w:widowControl/>
              <w:suppressAutoHyphens w:val="true"/>
              <w:spacing w:beforeAutospacing="0" w:before="0" w:afterAutospacing="0" w:after="280"/>
              <w:jc w:val="left"/>
              <w:rPr>
                <w:sz w:val="28"/>
                <w:szCs w:val="28"/>
              </w:rPr>
            </w:pPr>
            <w:r>
              <w:rPr>
                <w:kern w:val="0"/>
                <w:sz w:val="28"/>
                <w:szCs w:val="28"/>
                <w:lang w:val="ru-RU" w:bidi="ar-SA"/>
              </w:rPr>
              <w:t>Класс токсичности</w:t>
            </w:r>
          </w:p>
        </w:tc>
        <w:tc>
          <w:tcPr>
            <w:tcW w:w="2395"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IV класс</w:t>
            </w:r>
          </w:p>
          <w:p>
            <w:pPr>
              <w:pStyle w:val="NormalWeb"/>
              <w:widowControl/>
              <w:suppressAutoHyphens w:val="true"/>
              <w:spacing w:beforeAutospacing="0" w:before="0" w:afterAutospacing="0" w:after="280"/>
              <w:jc w:val="center"/>
              <w:rPr>
                <w:sz w:val="28"/>
                <w:szCs w:val="28"/>
              </w:rPr>
            </w:pPr>
            <w:r>
              <w:rPr>
                <w:kern w:val="0"/>
                <w:sz w:val="28"/>
                <w:szCs w:val="28"/>
                <w:lang w:val="ru-RU" w:bidi="ar-SA"/>
              </w:rPr>
              <w:t xml:space="preserve"> </w:t>
            </w:r>
            <w:r>
              <w:rPr>
                <w:kern w:val="0"/>
                <w:sz w:val="28"/>
                <w:szCs w:val="28"/>
                <w:lang w:val="ru-RU" w:bidi="ar-SA"/>
              </w:rPr>
              <w:t>Низкая токсичность</w:t>
            </w:r>
          </w:p>
        </w:tc>
        <w:tc>
          <w:tcPr>
            <w:tcW w:w="2393"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IV класс</w:t>
            </w:r>
          </w:p>
          <w:p>
            <w:pPr>
              <w:pStyle w:val="NormalWeb"/>
              <w:widowControl/>
              <w:suppressAutoHyphens w:val="true"/>
              <w:spacing w:beforeAutospacing="0" w:before="0" w:afterAutospacing="0" w:after="280"/>
              <w:jc w:val="center"/>
              <w:rPr>
                <w:sz w:val="28"/>
                <w:szCs w:val="28"/>
              </w:rPr>
            </w:pPr>
            <w:r>
              <w:rPr>
                <w:kern w:val="0"/>
                <w:sz w:val="28"/>
                <w:szCs w:val="28"/>
                <w:lang w:val="ru-RU" w:bidi="ar-SA"/>
              </w:rPr>
              <w:t>Низкая токсичность</w:t>
            </w:r>
          </w:p>
        </w:tc>
        <w:tc>
          <w:tcPr>
            <w:tcW w:w="2391" w:type="dxa"/>
            <w:tcBorders/>
            <w:vAlign w:val="center"/>
          </w:tcPr>
          <w:p>
            <w:pPr>
              <w:pStyle w:val="NormalWeb"/>
              <w:widowControl/>
              <w:suppressAutoHyphens w:val="true"/>
              <w:spacing w:beforeAutospacing="0" w:before="0" w:afterAutospacing="0" w:after="280"/>
              <w:jc w:val="center"/>
              <w:rPr>
                <w:sz w:val="28"/>
                <w:szCs w:val="28"/>
              </w:rPr>
            </w:pPr>
            <w:r>
              <w:rPr>
                <w:kern w:val="0"/>
                <w:sz w:val="28"/>
                <w:szCs w:val="28"/>
                <w:lang w:val="ru-RU" w:bidi="ar-SA"/>
              </w:rPr>
              <w:t>V класс</w:t>
            </w:r>
          </w:p>
          <w:p>
            <w:pPr>
              <w:pStyle w:val="NormalWeb"/>
              <w:widowControl/>
              <w:suppressAutoHyphens w:val="true"/>
              <w:spacing w:beforeAutospacing="0" w:before="0" w:afterAutospacing="0" w:after="280"/>
              <w:jc w:val="center"/>
              <w:rPr>
                <w:sz w:val="28"/>
                <w:szCs w:val="28"/>
              </w:rPr>
            </w:pPr>
            <w:r>
              <w:rPr>
                <w:kern w:val="0"/>
                <w:sz w:val="28"/>
                <w:szCs w:val="28"/>
                <w:lang w:val="ru-RU" w:bidi="ar-SA"/>
              </w:rPr>
              <w:t>Норма</w:t>
            </w:r>
          </w:p>
        </w:tc>
      </w:tr>
    </w:tbl>
    <w:p>
      <w:pPr>
        <w:pStyle w:val="Normal"/>
        <w:shd w:val="clear" w:color="auto" w:fill="FFFFFF"/>
        <w:ind w:firstLine="708"/>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sz w:val="28"/>
          <w:szCs w:val="28"/>
          <w:lang w:eastAsia="ru-RU"/>
        </w:rPr>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На участках №1 и №2 в черте города ИТФ показал низкую токсичность, при этом цифровые показатели стремятся к норме, ИТФ на участке №3 показал норму. Во всех трёх пробах тургесценция корней находится в пределах нормы, их цвет не изменён.</w:t>
      </w:r>
    </w:p>
    <w:p>
      <w:pPr>
        <w:pStyle w:val="Normal"/>
        <w:shd w:val="clear" w:color="auto" w:fill="FFFFFF"/>
        <w:ind w:firstLine="708"/>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sz w:val="28"/>
          <w:szCs w:val="28"/>
          <w:lang w:eastAsia="ru-RU"/>
        </w:rPr>
      </w:r>
    </w:p>
    <w:p>
      <w:pPr>
        <w:pStyle w:val="NormalWeb"/>
        <w:shd w:val="clear" w:color="auto" w:fill="FFFFFF"/>
        <w:jc w:val="center"/>
        <w:rPr>
          <w:sz w:val="28"/>
          <w:szCs w:val="28"/>
        </w:rPr>
      </w:pPr>
      <w:r>
        <w:rPr>
          <w:b/>
          <w:sz w:val="28"/>
          <w:szCs w:val="28"/>
        </w:rPr>
        <w:t>4.2. Результаты биотестирования исследуемых проб озёрной воды по всхожести  семян кресс-салата и редиса</w:t>
      </w:r>
    </w:p>
    <w:p>
      <w:pPr>
        <w:pStyle w:val="NormalWeb"/>
        <w:shd w:val="clear" w:color="auto" w:fill="FFFFFF"/>
        <w:jc w:val="center"/>
        <w:rPr>
          <w:b/>
          <w:b/>
        </w:rPr>
      </w:pPr>
      <w:r>
        <w:rPr>
          <w:b/>
        </w:rPr>
      </w:r>
    </w:p>
    <w:p>
      <w:pPr>
        <w:pStyle w:val="Normal"/>
        <w:shd w:val="clear" w:color="auto" w:fill="FFFFFF"/>
        <w:jc w:val="center"/>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Таблица 5. Результаты исследования по тест-объекту кресс-салат</w:t>
      </w:r>
    </w:p>
    <w:tbl>
      <w:tblPr>
        <w:tblStyle w:val="af5"/>
        <w:tblW w:w="957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13"/>
        <w:gridCol w:w="1914"/>
        <w:gridCol w:w="1914"/>
        <w:gridCol w:w="1914"/>
        <w:gridCol w:w="1915"/>
      </w:tblGrid>
      <w:tr>
        <w:trPr/>
        <w:tc>
          <w:tcPr>
            <w:tcW w:w="1913" w:type="dxa"/>
            <w:tcBorders/>
            <w:vAlign w:val="center"/>
          </w:tcPr>
          <w:p>
            <w:pPr>
              <w:pStyle w:val="Normal"/>
              <w:widowControl/>
              <w:suppressAutoHyphens w:val="true"/>
              <w:spacing w:beforeAutospacing="0" w:before="0" w:afterAutospacing="0" w:after="0"/>
              <w:jc w:val="both"/>
              <w:rPr>
                <w:rFonts w:ascii="Times New Roman" w:hAnsi="Times New Roman" w:eastAsia="Times New Roman" w:cs="Times New Roman"/>
                <w:color w:val="1A1A1A"/>
                <w:sz w:val="28"/>
                <w:szCs w:val="28"/>
              </w:rPr>
            </w:pPr>
            <w:r>
              <w:rPr>
                <w:rFonts w:eastAsia="Times New Roman" w:cs="Times New Roman" w:ascii="Times New Roman" w:hAnsi="Times New Roman"/>
                <w:color w:val="1A1A1A"/>
                <w:kern w:val="0"/>
                <w:sz w:val="22"/>
                <w:szCs w:val="22"/>
                <w:lang w:val="ru-RU" w:eastAsia="en-US" w:bidi="ar-SA"/>
              </w:rPr>
            </w:r>
          </w:p>
        </w:tc>
        <w:tc>
          <w:tcPr>
            <w:tcW w:w="1914" w:type="dxa"/>
            <w:tcBorders/>
            <w:vAlign w:val="center"/>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Контроль</w:t>
            </w:r>
          </w:p>
        </w:tc>
        <w:tc>
          <w:tcPr>
            <w:tcW w:w="1914" w:type="dxa"/>
            <w:tcBorders/>
            <w:vAlign w:val="center"/>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Участок№1</w:t>
            </w:r>
          </w:p>
        </w:tc>
        <w:tc>
          <w:tcPr>
            <w:tcW w:w="1914" w:type="dxa"/>
            <w:tcBorders/>
            <w:vAlign w:val="center"/>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Участок №2</w:t>
            </w:r>
          </w:p>
        </w:tc>
        <w:tc>
          <w:tcPr>
            <w:tcW w:w="1915" w:type="dxa"/>
            <w:tcBorders/>
            <w:vAlign w:val="center"/>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Участок №3</w:t>
            </w:r>
          </w:p>
        </w:tc>
      </w:tr>
      <w:tr>
        <w:trPr/>
        <w:tc>
          <w:tcPr>
            <w:tcW w:w="1913" w:type="dxa"/>
            <w:tcBorders/>
            <w:vAlign w:val="center"/>
          </w:tcPr>
          <w:p>
            <w:pPr>
              <w:pStyle w:val="Normal"/>
              <w:widowControl/>
              <w:suppressAutoHyphens w:val="true"/>
              <w:spacing w:before="0" w:after="0"/>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Всхожесть</w:t>
            </w:r>
          </w:p>
        </w:tc>
        <w:tc>
          <w:tcPr>
            <w:tcW w:w="1914" w:type="dxa"/>
            <w:tcBorders/>
            <w:vAlign w:val="center"/>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100 %</w:t>
            </w:r>
          </w:p>
        </w:tc>
        <w:tc>
          <w:tcPr>
            <w:tcW w:w="1914" w:type="dxa"/>
            <w:tcBorders/>
            <w:vAlign w:val="center"/>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82%</w:t>
            </w:r>
          </w:p>
        </w:tc>
        <w:tc>
          <w:tcPr>
            <w:tcW w:w="1914" w:type="dxa"/>
            <w:tcBorders/>
            <w:vAlign w:val="center"/>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78%</w:t>
            </w:r>
          </w:p>
        </w:tc>
        <w:tc>
          <w:tcPr>
            <w:tcW w:w="1915" w:type="dxa"/>
            <w:tcBorders/>
            <w:vAlign w:val="center"/>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88%</w:t>
            </w:r>
          </w:p>
        </w:tc>
      </w:tr>
      <w:tr>
        <w:trPr/>
        <w:tc>
          <w:tcPr>
            <w:tcW w:w="1913" w:type="dxa"/>
            <w:tcBorders/>
            <w:vAlign w:val="center"/>
          </w:tcPr>
          <w:p>
            <w:pPr>
              <w:pStyle w:val="Normal"/>
              <w:widowControl/>
              <w:suppressAutoHyphens w:val="true"/>
              <w:spacing w:before="0" w:after="0"/>
              <w:contextualSpacing/>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Индекс токсичности</w:t>
            </w:r>
          </w:p>
        </w:tc>
        <w:tc>
          <w:tcPr>
            <w:tcW w:w="1914" w:type="dxa"/>
            <w:tcBorders/>
            <w:vAlign w:val="center"/>
          </w:tcPr>
          <w:p>
            <w:pPr>
              <w:pStyle w:val="Normal"/>
              <w:widowControl/>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w:t>
            </w:r>
          </w:p>
        </w:tc>
        <w:tc>
          <w:tcPr>
            <w:tcW w:w="1914" w:type="dxa"/>
            <w:tcBorders/>
            <w:vAlign w:val="center"/>
          </w:tcPr>
          <w:p>
            <w:pPr>
              <w:pStyle w:val="Normal"/>
              <w:widowControl/>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0,18</w:t>
            </w:r>
          </w:p>
        </w:tc>
        <w:tc>
          <w:tcPr>
            <w:tcW w:w="1914" w:type="dxa"/>
            <w:tcBorders/>
            <w:vAlign w:val="center"/>
          </w:tcPr>
          <w:p>
            <w:pPr>
              <w:pStyle w:val="Normal"/>
              <w:widowControl/>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0,22</w:t>
            </w:r>
          </w:p>
        </w:tc>
        <w:tc>
          <w:tcPr>
            <w:tcW w:w="1915" w:type="dxa"/>
            <w:tcBorders/>
            <w:vAlign w:val="center"/>
          </w:tcPr>
          <w:p>
            <w:pPr>
              <w:pStyle w:val="Normal"/>
              <w:widowControl/>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0,12</w:t>
            </w:r>
          </w:p>
        </w:tc>
      </w:tr>
      <w:tr>
        <w:trPr/>
        <w:tc>
          <w:tcPr>
            <w:tcW w:w="1913" w:type="dxa"/>
            <w:tcBorders/>
            <w:vAlign w:val="center"/>
          </w:tcPr>
          <w:p>
            <w:pPr>
              <w:pStyle w:val="Normal"/>
              <w:widowControl/>
              <w:suppressAutoHyphens w:val="true"/>
              <w:spacing w:before="0" w:after="0"/>
              <w:contextualSpacing/>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Степень загрязнения</w:t>
            </w:r>
          </w:p>
        </w:tc>
        <w:tc>
          <w:tcPr>
            <w:tcW w:w="1914" w:type="dxa"/>
            <w:tcBorders/>
            <w:vAlign w:val="center"/>
          </w:tcPr>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загрязнение</w:t>
            </w:r>
          </w:p>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отсутствует</w:t>
            </w:r>
          </w:p>
        </w:tc>
        <w:tc>
          <w:tcPr>
            <w:tcW w:w="1914" w:type="dxa"/>
            <w:tcBorders/>
            <w:vAlign w:val="center"/>
          </w:tcPr>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слабое</w:t>
            </w:r>
          </w:p>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загрязнение</w:t>
            </w:r>
          </w:p>
        </w:tc>
        <w:tc>
          <w:tcPr>
            <w:tcW w:w="1914" w:type="dxa"/>
            <w:tcBorders/>
            <w:vAlign w:val="center"/>
          </w:tcPr>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слабое</w:t>
            </w:r>
          </w:p>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загрязнение</w:t>
            </w:r>
          </w:p>
        </w:tc>
        <w:tc>
          <w:tcPr>
            <w:tcW w:w="1915" w:type="dxa"/>
            <w:tcBorders/>
            <w:vAlign w:val="center"/>
          </w:tcPr>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слабое</w:t>
            </w:r>
          </w:p>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загрязнение</w:t>
            </w:r>
          </w:p>
        </w:tc>
      </w:tr>
    </w:tbl>
    <w:p>
      <w:pPr>
        <w:pStyle w:val="Normal"/>
        <w:shd w:val="clear" w:color="auto" w:fill="FFFFFF"/>
        <w:ind w:firstLine="567"/>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sz w:val="28"/>
          <w:szCs w:val="28"/>
          <w:lang w:eastAsia="ru-RU"/>
        </w:rPr>
      </w:r>
    </w:p>
    <w:p>
      <w:pPr>
        <w:pStyle w:val="Normal"/>
        <w:shd w:val="clear" w:color="auto" w:fill="FFFFFF"/>
        <w:jc w:val="center"/>
        <w:rPr>
          <w:rFonts w:ascii="Times New Roman" w:hAnsi="Times New Roman" w:cs="Times New Roman"/>
          <w:sz w:val="28"/>
          <w:szCs w:val="28"/>
        </w:rPr>
      </w:pPr>
      <w:r>
        <w:rPr/>
      </w:r>
    </w:p>
    <w:p>
      <w:pPr>
        <w:pStyle w:val="Normal"/>
        <w:shd w:val="clear" w:color="auto" w:fill="FFFFFF"/>
        <w:jc w:val="center"/>
        <w:rPr>
          <w:rFonts w:ascii="Times New Roman" w:hAnsi="Times New Roman" w:cs="Times New Roman"/>
          <w:sz w:val="28"/>
          <w:szCs w:val="28"/>
        </w:rPr>
      </w:pPr>
      <w:r>
        <w:rPr/>
      </w:r>
    </w:p>
    <w:p>
      <w:pPr>
        <w:pStyle w:val="Normal"/>
        <w:shd w:val="clear" w:color="auto" w:fill="FFFFFF"/>
        <w:jc w:val="center"/>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Таблица 6. Результаты исследования по тест-объекту редис</w:t>
      </w:r>
    </w:p>
    <w:tbl>
      <w:tblPr>
        <w:tblStyle w:val="af5"/>
        <w:tblW w:w="957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13"/>
        <w:gridCol w:w="1914"/>
        <w:gridCol w:w="1914"/>
        <w:gridCol w:w="1914"/>
        <w:gridCol w:w="1915"/>
      </w:tblGrid>
      <w:tr>
        <w:trPr/>
        <w:tc>
          <w:tcPr>
            <w:tcW w:w="1913" w:type="dxa"/>
            <w:tcBorders/>
          </w:tcPr>
          <w:p>
            <w:pPr>
              <w:pStyle w:val="Normal"/>
              <w:widowControl/>
              <w:suppressAutoHyphens w:val="true"/>
              <w:spacing w:before="0" w:after="0"/>
              <w:jc w:val="both"/>
              <w:rPr>
                <w:rFonts w:ascii="Times New Roman" w:hAnsi="Times New Roman" w:eastAsia="Times New Roman" w:cs="Times New Roman"/>
                <w:color w:val="1A1A1A"/>
                <w:sz w:val="28"/>
                <w:szCs w:val="28"/>
              </w:rPr>
            </w:pPr>
            <w:r>
              <w:rPr>
                <w:rFonts w:eastAsia="Times New Roman" w:cs="Times New Roman" w:ascii="Times New Roman" w:hAnsi="Times New Roman"/>
                <w:color w:val="1A1A1A"/>
                <w:kern w:val="0"/>
                <w:sz w:val="22"/>
                <w:szCs w:val="22"/>
                <w:lang w:val="ru-RU" w:eastAsia="en-US" w:bidi="ar-SA"/>
              </w:rPr>
            </w:r>
          </w:p>
        </w:tc>
        <w:tc>
          <w:tcPr>
            <w:tcW w:w="1914"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Контроль</w:t>
            </w:r>
          </w:p>
        </w:tc>
        <w:tc>
          <w:tcPr>
            <w:tcW w:w="1914"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Участок№1</w:t>
            </w:r>
          </w:p>
        </w:tc>
        <w:tc>
          <w:tcPr>
            <w:tcW w:w="1914"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Участок №2</w:t>
            </w:r>
          </w:p>
        </w:tc>
        <w:tc>
          <w:tcPr>
            <w:tcW w:w="1915"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Участок №3</w:t>
            </w:r>
          </w:p>
        </w:tc>
      </w:tr>
      <w:tr>
        <w:trPr/>
        <w:tc>
          <w:tcPr>
            <w:tcW w:w="1913" w:type="dxa"/>
            <w:tcBorders/>
          </w:tcPr>
          <w:p>
            <w:pPr>
              <w:pStyle w:val="Normal"/>
              <w:widowControl/>
              <w:suppressAutoHyphens w:val="true"/>
              <w:spacing w:before="0" w:after="0"/>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Всхожесть</w:t>
            </w:r>
          </w:p>
        </w:tc>
        <w:tc>
          <w:tcPr>
            <w:tcW w:w="1914"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98 %</w:t>
            </w:r>
          </w:p>
        </w:tc>
        <w:tc>
          <w:tcPr>
            <w:tcW w:w="1914"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80%</w:t>
            </w:r>
          </w:p>
        </w:tc>
        <w:tc>
          <w:tcPr>
            <w:tcW w:w="1914"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78%</w:t>
            </w:r>
          </w:p>
        </w:tc>
        <w:tc>
          <w:tcPr>
            <w:tcW w:w="1915"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84%</w:t>
            </w:r>
          </w:p>
        </w:tc>
      </w:tr>
      <w:tr>
        <w:trPr/>
        <w:tc>
          <w:tcPr>
            <w:tcW w:w="1913" w:type="dxa"/>
            <w:tcBorders/>
          </w:tcPr>
          <w:p>
            <w:pPr>
              <w:pStyle w:val="Normal"/>
              <w:widowControl/>
              <w:suppressAutoHyphens w:val="true"/>
              <w:spacing w:before="0" w:after="0"/>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Индекс токсичности</w:t>
            </w:r>
          </w:p>
        </w:tc>
        <w:tc>
          <w:tcPr>
            <w:tcW w:w="1914"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w:t>
            </w:r>
          </w:p>
        </w:tc>
        <w:tc>
          <w:tcPr>
            <w:tcW w:w="1914"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0,18</w:t>
            </w:r>
          </w:p>
        </w:tc>
        <w:tc>
          <w:tcPr>
            <w:tcW w:w="1914"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0,2</w:t>
            </w:r>
          </w:p>
        </w:tc>
        <w:tc>
          <w:tcPr>
            <w:tcW w:w="1915" w:type="dxa"/>
            <w:tcBorders/>
          </w:tcPr>
          <w:p>
            <w:pPr>
              <w:pStyle w:val="Normal"/>
              <w:widowControl/>
              <w:suppressAutoHyphens w:val="true"/>
              <w:spacing w:before="0" w:after="0"/>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0,14</w:t>
            </w:r>
          </w:p>
        </w:tc>
      </w:tr>
      <w:tr>
        <w:trPr/>
        <w:tc>
          <w:tcPr>
            <w:tcW w:w="1913" w:type="dxa"/>
            <w:tcBorders/>
          </w:tcPr>
          <w:p>
            <w:pPr>
              <w:pStyle w:val="Normal"/>
              <w:widowControl/>
              <w:suppressAutoHyphens w:val="true"/>
              <w:spacing w:before="0" w:after="0"/>
              <w:contextualSpacing/>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Степень загрязнения</w:t>
            </w:r>
          </w:p>
        </w:tc>
        <w:tc>
          <w:tcPr>
            <w:tcW w:w="1914" w:type="dxa"/>
            <w:tcBorders/>
          </w:tcPr>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загрязнение</w:t>
            </w:r>
          </w:p>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отсутствует</w:t>
            </w:r>
          </w:p>
        </w:tc>
        <w:tc>
          <w:tcPr>
            <w:tcW w:w="1914" w:type="dxa"/>
            <w:tcBorders/>
          </w:tcPr>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слабое</w:t>
            </w:r>
          </w:p>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загрязнение</w:t>
            </w:r>
          </w:p>
        </w:tc>
        <w:tc>
          <w:tcPr>
            <w:tcW w:w="1914" w:type="dxa"/>
            <w:tcBorders/>
          </w:tcPr>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слабое</w:t>
            </w:r>
          </w:p>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загрязнение</w:t>
            </w:r>
          </w:p>
        </w:tc>
        <w:tc>
          <w:tcPr>
            <w:tcW w:w="1915" w:type="dxa"/>
            <w:tcBorders/>
          </w:tcPr>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слабое</w:t>
            </w:r>
          </w:p>
          <w:p>
            <w:pPr>
              <w:pStyle w:val="Normal"/>
              <w:widowControl/>
              <w:shd w:val="clear" w:color="auto" w:fill="FFFFFF"/>
              <w:suppressAutoHyphens w:val="true"/>
              <w:spacing w:before="0" w:after="0"/>
              <w:contextualSpacing/>
              <w:jc w:val="center"/>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kern w:val="0"/>
                <w:sz w:val="28"/>
                <w:szCs w:val="28"/>
                <w:lang w:val="ru-RU" w:eastAsia="ru-RU" w:bidi="ar-SA"/>
              </w:rPr>
              <w:t>загрязнение</w:t>
            </w:r>
          </w:p>
        </w:tc>
      </w:tr>
    </w:tbl>
    <w:p>
      <w:pPr>
        <w:pStyle w:val="Normal"/>
        <w:shd w:val="clear" w:color="auto" w:fill="FFFFFF"/>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Normal"/>
        <w:shd w:val="clear" w:color="auto" w:fill="FFFFFF"/>
        <w:jc w:val="center"/>
        <w:rPr>
          <w:rFonts w:ascii="Times New Roman" w:hAnsi="Times New Roman" w:cs="Times New Roman"/>
          <w:sz w:val="28"/>
          <w:szCs w:val="28"/>
        </w:rPr>
      </w:pPr>
      <w:r>
        <w:rPr>
          <w:rFonts w:eastAsia="Times New Roman" w:cs="Times New Roman" w:ascii="Times New Roman" w:hAnsi="Times New Roman"/>
          <w:b/>
          <w:sz w:val="28"/>
          <w:szCs w:val="28"/>
          <w:lang w:eastAsia="ru-RU"/>
        </w:rPr>
        <w:t>4.3. Результаты биоиндикации качества воды на определённых участках по макрофитам озера Невель</w:t>
      </w:r>
    </w:p>
    <w:p>
      <w:pPr>
        <w:pStyle w:val="Normal"/>
        <w:shd w:val="clear" w:color="auto" w:fill="FFFFFF"/>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shd w:val="clear" w:color="auto" w:fill="FFFFFF"/>
        <w:ind w:firstLine="567"/>
        <w:jc w:val="center"/>
        <w:rPr>
          <w:rFonts w:ascii="Times New Roman" w:hAnsi="Times New Roman" w:cs="Times New Roman"/>
          <w:sz w:val="28"/>
          <w:szCs w:val="28"/>
        </w:rPr>
      </w:pPr>
      <w:r>
        <w:rPr>
          <w:rFonts w:eastAsia="Times New Roman" w:cs="Times New Roman" w:ascii="Times New Roman" w:hAnsi="Times New Roman"/>
          <w:sz w:val="28"/>
          <w:szCs w:val="28"/>
          <w:lang w:eastAsia="ru-RU"/>
        </w:rPr>
        <w:t xml:space="preserve">Таблица №7. Биоиндикация качества воды на определённых участках озера Невель по макрофитам </w:t>
      </w:r>
    </w:p>
    <w:tbl>
      <w:tblPr>
        <w:tblStyle w:val="af5"/>
        <w:tblW w:w="9563"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607"/>
        <w:gridCol w:w="460"/>
        <w:gridCol w:w="443"/>
        <w:gridCol w:w="462"/>
        <w:gridCol w:w="1805"/>
        <w:gridCol w:w="1416"/>
        <w:gridCol w:w="1022"/>
        <w:gridCol w:w="1346"/>
      </w:tblGrid>
      <w:tr>
        <w:trPr/>
        <w:tc>
          <w:tcPr>
            <w:tcW w:w="2607" w:type="dxa"/>
            <w:vMerge w:val="restart"/>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Название вида</w:t>
            </w:r>
          </w:p>
        </w:tc>
        <w:tc>
          <w:tcPr>
            <w:tcW w:w="1365" w:type="dxa"/>
            <w:gridSpan w:val="3"/>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Участки</w:t>
            </w:r>
          </w:p>
        </w:tc>
        <w:tc>
          <w:tcPr>
            <w:tcW w:w="5589" w:type="dxa"/>
            <w:gridSpan w:val="4"/>
            <w:tcBorders/>
            <w:vAlign w:val="center"/>
          </w:tcPr>
          <w:p>
            <w:pPr>
              <w:pStyle w:val="Default"/>
              <w:widowControl/>
              <w:suppressAutoHyphens w:val="true"/>
              <w:spacing w:before="0" w:after="0"/>
              <w:jc w:val="center"/>
              <w:rPr>
                <w:sz w:val="28"/>
                <w:szCs w:val="28"/>
              </w:rPr>
            </w:pPr>
            <w:r>
              <w:rPr>
                <w:rFonts w:eastAsia="Times New Roman"/>
                <w:kern w:val="0"/>
                <w:sz w:val="28"/>
                <w:szCs w:val="28"/>
                <w:lang w:val="ru-RU" w:eastAsia="ru-RU" w:bidi="ar-SA"/>
              </w:rPr>
              <w:t>Индикаторы</w:t>
            </w:r>
          </w:p>
        </w:tc>
      </w:tr>
      <w:tr>
        <w:trPr/>
        <w:tc>
          <w:tcPr>
            <w:tcW w:w="2607" w:type="dxa"/>
            <w:vMerge w:val="continue"/>
            <w:tcBorders/>
            <w:vAlign w:val="center"/>
          </w:tcPr>
          <w:p>
            <w:pPr>
              <w:pStyle w:val="Default"/>
              <w:widowControl/>
              <w:suppressAutoHyphens w:val="true"/>
              <w:spacing w:before="0" w:after="0"/>
              <w:jc w:val="center"/>
              <w:rPr>
                <w:sz w:val="28"/>
                <w:szCs w:val="28"/>
              </w:rPr>
            </w:pPr>
            <w:r>
              <w:rPr>
                <w:kern w:val="0"/>
                <w:sz w:val="28"/>
                <w:szCs w:val="28"/>
                <w:lang w:val="ru-RU" w:eastAsia="en-US" w:bidi="ar-SA"/>
              </w:rPr>
            </w:r>
          </w:p>
        </w:tc>
        <w:tc>
          <w:tcPr>
            <w:tcW w:w="460" w:type="dxa"/>
            <w:tcBorders/>
            <w:vAlign w:val="center"/>
          </w:tcPr>
          <w:p>
            <w:pPr>
              <w:pStyle w:val="Default"/>
              <w:widowControl/>
              <w:suppressAutoHyphens w:val="true"/>
              <w:spacing w:before="0" w:after="0"/>
              <w:jc w:val="center"/>
              <w:rPr>
                <w:sz w:val="28"/>
                <w:szCs w:val="28"/>
              </w:rPr>
            </w:pPr>
            <w:r>
              <w:rPr>
                <w:kern w:val="0"/>
                <w:sz w:val="28"/>
                <w:szCs w:val="28"/>
                <w:lang w:val="ru-RU" w:eastAsia="en-US" w:bidi="ar-SA"/>
              </w:rPr>
              <w:t>1</w:t>
            </w:r>
          </w:p>
        </w:tc>
        <w:tc>
          <w:tcPr>
            <w:tcW w:w="443" w:type="dxa"/>
            <w:tcBorders/>
            <w:vAlign w:val="center"/>
          </w:tcPr>
          <w:p>
            <w:pPr>
              <w:pStyle w:val="Default"/>
              <w:widowControl/>
              <w:suppressAutoHyphens w:val="true"/>
              <w:spacing w:before="0" w:after="0"/>
              <w:jc w:val="center"/>
              <w:rPr>
                <w:sz w:val="28"/>
                <w:szCs w:val="28"/>
              </w:rPr>
            </w:pPr>
            <w:r>
              <w:rPr>
                <w:kern w:val="0"/>
                <w:sz w:val="28"/>
                <w:szCs w:val="28"/>
                <w:lang w:val="ru-RU" w:eastAsia="en-US" w:bidi="ar-SA"/>
              </w:rPr>
              <w:t>2</w:t>
            </w:r>
          </w:p>
        </w:tc>
        <w:tc>
          <w:tcPr>
            <w:tcW w:w="462" w:type="dxa"/>
            <w:tcBorders/>
            <w:vAlign w:val="center"/>
          </w:tcPr>
          <w:p>
            <w:pPr>
              <w:pStyle w:val="Default"/>
              <w:widowControl/>
              <w:suppressAutoHyphens w:val="true"/>
              <w:spacing w:before="0" w:after="0"/>
              <w:jc w:val="center"/>
              <w:rPr>
                <w:sz w:val="28"/>
                <w:szCs w:val="28"/>
              </w:rPr>
            </w:pPr>
            <w:r>
              <w:rPr>
                <w:kern w:val="0"/>
                <w:sz w:val="28"/>
                <w:szCs w:val="28"/>
                <w:lang w:val="ru-RU" w:eastAsia="en-US" w:bidi="ar-SA"/>
              </w:rPr>
              <w:t>3</w:t>
            </w:r>
          </w:p>
        </w:tc>
        <w:tc>
          <w:tcPr>
            <w:tcW w:w="1805"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Органич. загрязнение</w:t>
            </w:r>
          </w:p>
        </w:tc>
        <w:tc>
          <w:tcPr>
            <w:tcW w:w="1416"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Ацидо-фикация</w:t>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Эв-тро-фи-ка-ция</w:t>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Тяж. метал.</w:t>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Аир обыкновенный</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Водокрас лягушачий</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Камыш озерный</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Кубышка малая</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Манник большой</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Рдест курчавый</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Рдест плавающий</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Рогоз широколистный</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Ряска малая</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Ситняг болотный</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Уруть колосистая</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Хвощ речной</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607" w:type="dxa"/>
            <w:tcBorders/>
            <w:vAlign w:val="center"/>
          </w:tcPr>
          <w:p>
            <w:pPr>
              <w:pStyle w:val="Normal"/>
              <w:widowControl/>
              <w:suppressAutoHyphens w:val="true"/>
              <w:spacing w:before="0" w:after="0"/>
              <w:ind w:left="120" w:right="120" w:hanging="0"/>
              <w:jc w:val="lef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Частуха подорожниковая</w:t>
            </w:r>
          </w:p>
        </w:tc>
        <w:tc>
          <w:tcPr>
            <w:tcW w:w="460"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43"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462"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kern w:val="0"/>
                <w:sz w:val="22"/>
                <w:szCs w:val="22"/>
                <w:lang w:val="ru-RU" w:eastAsia="en-US" w:bidi="ar-SA"/>
              </w:rPr>
            </w:r>
          </w:p>
        </w:tc>
        <w:tc>
          <w:tcPr>
            <w:tcW w:w="1805"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022"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34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bl>
    <w:p>
      <w:pPr>
        <w:pStyle w:val="Normal"/>
        <w:shd w:val="clear" w:color="auto" w:fill="FFFFFF"/>
        <w:ind w:firstLine="567"/>
        <w:jc w:val="both"/>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sz w:val="28"/>
          <w:szCs w:val="28"/>
          <w:lang w:eastAsia="ru-RU"/>
        </w:rPr>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По результатам биоиндикации ведущий тип загрязнения на всех участках - органическое. Наибольшие признаки эвтрофикации и загрязнения тяжелыми металлами наблюдаются на участке №2. </w:t>
      </w:r>
    </w:p>
    <w:p>
      <w:pPr>
        <w:pStyle w:val="Normal"/>
        <w:shd w:val="clear" w:color="auto" w:fill="FFFFFF"/>
        <w:ind w:firstLine="567"/>
        <w:jc w:val="both"/>
        <w:rPr>
          <w:rFonts w:ascii="Times New Roman" w:hAnsi="Times New Roman" w:eastAsia="Times New Roman" w:cs="Times New Roman"/>
          <w:color w:val="1A1A1A"/>
          <w:lang w:eastAsia="ru-RU"/>
        </w:rPr>
      </w:pPr>
      <w:r>
        <w:rPr>
          <w:rFonts w:eastAsia="Times New Roman" w:cs="Times New Roman" w:ascii="Times New Roman" w:hAnsi="Times New Roman"/>
          <w:color w:val="1A1A1A"/>
          <w:lang w:eastAsia="ru-RU"/>
        </w:rPr>
      </w:r>
    </w:p>
    <w:p>
      <w:pPr>
        <w:pStyle w:val="Normal"/>
        <w:shd w:val="clear" w:color="auto" w:fill="FFFFFF"/>
        <w:jc w:val="center"/>
        <w:rPr>
          <w:rFonts w:ascii="Times New Roman" w:hAnsi="Times New Roman" w:cs="Times New Roman"/>
          <w:sz w:val="28"/>
          <w:szCs w:val="28"/>
        </w:rPr>
      </w:pPr>
      <w:r>
        <w:rPr/>
      </w:r>
    </w:p>
    <w:p>
      <w:pPr>
        <w:pStyle w:val="Normal"/>
        <w:shd w:val="clear" w:color="auto" w:fill="FFFFFF"/>
        <w:jc w:val="center"/>
        <w:rPr>
          <w:rFonts w:ascii="Times New Roman" w:hAnsi="Times New Roman" w:cs="Times New Roman"/>
          <w:sz w:val="28"/>
          <w:szCs w:val="28"/>
        </w:rPr>
      </w:pPr>
      <w:r>
        <w:rPr>
          <w:rFonts w:eastAsia="Times New Roman" w:cs="Times New Roman" w:ascii="Times New Roman" w:hAnsi="Times New Roman"/>
          <w:b/>
          <w:color w:val="1A1A1A"/>
          <w:sz w:val="28"/>
          <w:szCs w:val="28"/>
          <w:lang w:eastAsia="ru-RU"/>
        </w:rPr>
        <w:t xml:space="preserve"> </w:t>
      </w:r>
      <w:r>
        <w:rPr>
          <w:rFonts w:eastAsia="Times New Roman" w:cs="Times New Roman" w:ascii="Times New Roman" w:hAnsi="Times New Roman"/>
          <w:b/>
          <w:color w:val="1A1A1A"/>
          <w:sz w:val="28"/>
          <w:szCs w:val="28"/>
          <w:lang w:eastAsia="ru-RU"/>
        </w:rPr>
        <w:t>4.4. Комплекс мероприятий по охране воды озера Невель</w:t>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Результаты нашего исследования показали, что экосистема озера Невель испытывает антропогенную нагрузку, что негативно влияет на качество его воды. С целью охраны наших водных богатств необходимо формировать экологический менталитет населения. Конечно, невозможно сразу устранить все негативные факторы, которые  влияют на чистоту воды озера. Но силами эковолонтёров при поддержке населения можно сделать много добрых            и полезных дел.   </w:t>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1.Эковолонтёрам нашего города необходимо провести инспекцию берега озера в  городской черте и нанести на  карту наиболее загрязнённые места. Далее довести эту информацию для общественности.</w:t>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2. Организовать мероприятия по очистке берегов озера в рамках </w:t>
      </w:r>
      <w:r>
        <w:rPr>
          <w:rFonts w:cs="Times New Roman" w:ascii="Times New Roman" w:hAnsi="Times New Roman"/>
          <w:color w:val="000000"/>
          <w:sz w:val="28"/>
          <w:szCs w:val="28"/>
          <w:shd w:fill="FFFFFF" w:val="clear"/>
        </w:rPr>
        <w:t>Всероссийской акции по очистке от мусора берегов водных объектов «Вода России» («Берег добрых дел») — часть федерального проекта «Сохранение уникальных водных объектов» национального проекта «Экология»                   (Приложение 8).</w:t>
      </w:r>
    </w:p>
    <w:p>
      <w:pPr>
        <w:pStyle w:val="Normal"/>
        <w:shd w:val="clear" w:color="auto" w:fill="FFFFFF"/>
        <w:ind w:firstLine="567"/>
        <w:jc w:val="both"/>
        <w:rPr>
          <w:rFonts w:ascii="Times New Roman" w:hAnsi="Times New Roman" w:cs="Times New Roman"/>
        </w:rPr>
      </w:pPr>
      <w:r>
        <w:rPr>
          <w:rFonts w:eastAsia="Times New Roman" w:cs="Times New Roman" w:ascii="Times New Roman" w:hAnsi="Times New Roman"/>
          <w:color w:val="1A1A1A"/>
          <w:sz w:val="28"/>
          <w:szCs w:val="28"/>
          <w:lang w:eastAsia="ru-RU"/>
        </w:rPr>
        <w:t xml:space="preserve">3.Следующий шаг по сохранению экосистемы озера Невель – подготовка иллюстрированного определителя чистоты водоёмов, доступного для всех категорий населения и размещение его на официальном сайте </w:t>
      </w:r>
      <w:r>
        <w:rPr>
          <w:rStyle w:val="Style16"/>
          <w:rFonts w:eastAsia="Times New Roman" w:cs="Times New Roman" w:ascii="Times New Roman" w:hAnsi="Times New Roman"/>
          <w:b w:val="false"/>
          <w:color w:val="000000"/>
          <w:sz w:val="28"/>
          <w:szCs w:val="28"/>
          <w:lang w:eastAsia="ru-RU"/>
        </w:rPr>
        <w:t>Администрации городского поселения «Невель».</w:t>
      </w: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1A1A1A"/>
          <w:sz w:val="28"/>
          <w:szCs w:val="28"/>
          <w:lang w:eastAsia="ru-RU"/>
        </w:rPr>
        <w:t>Таким образом, каждый житель города сможет определить степень загрязнения поверхностных вод.</w:t>
      </w:r>
    </w:p>
    <w:p>
      <w:pPr>
        <w:pStyle w:val="Normal"/>
        <w:shd w:val="clear" w:color="auto" w:fill="FFFFFF"/>
        <w:ind w:firstLine="567"/>
        <w:jc w:val="both"/>
        <w:rPr>
          <w:rFonts w:ascii="Times New Roman" w:hAnsi="Times New Roman" w:eastAsia="Times New Roman" w:cs="Times New Roman"/>
          <w:b/>
          <w:b/>
          <w:color w:val="1A1A1A"/>
          <w:lang w:eastAsia="ru-RU"/>
        </w:rPr>
      </w:pPr>
      <w:r>
        <w:rPr>
          <w:rFonts w:eastAsia="Times New Roman" w:cs="Times New Roman" w:ascii="Times New Roman" w:hAnsi="Times New Roman"/>
          <w:b/>
          <w:color w:val="1A1A1A"/>
          <w:lang w:eastAsia="ru-RU"/>
        </w:rPr>
      </w:r>
    </w:p>
    <w:p>
      <w:pPr>
        <w:pStyle w:val="Normal"/>
        <w:shd w:val="clear" w:color="auto" w:fill="FFFFFF"/>
        <w:ind w:firstLine="567"/>
        <w:jc w:val="center"/>
        <w:rPr>
          <w:rFonts w:ascii="Times New Roman" w:hAnsi="Times New Roman" w:cs="Times New Roman"/>
          <w:sz w:val="28"/>
          <w:szCs w:val="28"/>
        </w:rPr>
      </w:pPr>
      <w:r>
        <w:rPr>
          <w:rFonts w:eastAsia="Times New Roman" w:cs="Times New Roman" w:ascii="Times New Roman" w:hAnsi="Times New Roman"/>
          <w:b/>
          <w:color w:val="1A1A1A"/>
          <w:sz w:val="28"/>
          <w:szCs w:val="28"/>
          <w:lang w:eastAsia="ru-RU"/>
        </w:rPr>
        <w:t>5. Выводы</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1. Результаты </w:t>
      </w:r>
      <w:r>
        <w:rPr>
          <w:rFonts w:cs="Times New Roman" w:ascii="Times New Roman" w:hAnsi="Times New Roman"/>
          <w:sz w:val="28"/>
          <w:szCs w:val="28"/>
        </w:rPr>
        <w:t xml:space="preserve">биотестирования исследуемых проб озёрной воды по всхожести  лука репчатого показали, что </w:t>
      </w:r>
      <w:r>
        <w:rPr>
          <w:rFonts w:eastAsia="Times New Roman" w:cs="Times New Roman" w:ascii="Times New Roman" w:hAnsi="Times New Roman"/>
          <w:color w:val="1A1A1A"/>
          <w:sz w:val="28"/>
          <w:szCs w:val="28"/>
          <w:lang w:eastAsia="ru-RU"/>
        </w:rPr>
        <w:t>на участках №1 и №2 в черте города ИТФ показал результат «Низкая токсичность», при этом цифровые показатели  индекса стремятся к норме, ИТФ на участке №3 результат «Норма». Во всех трёх пробах тургесценция корней находится в пределах нормы, их цвет не изменён.</w:t>
      </w:r>
    </w:p>
    <w:p>
      <w:pPr>
        <w:pStyle w:val="Normal"/>
        <w:shd w:val="clear" w:color="auto" w:fill="FFFFFF"/>
        <w:ind w:firstLine="708"/>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Результаты биотестирования </w:t>
      </w:r>
      <w:r>
        <w:rPr>
          <w:rFonts w:cs="Times New Roman" w:ascii="Times New Roman" w:hAnsi="Times New Roman"/>
          <w:sz w:val="28"/>
          <w:szCs w:val="28"/>
        </w:rPr>
        <w:t>исследуемых проб озёрной воды</w:t>
      </w:r>
      <w:r>
        <w:rPr>
          <w:rFonts w:eastAsia="Times New Roman" w:cs="Times New Roman" w:ascii="Times New Roman" w:hAnsi="Times New Roman"/>
          <w:color w:val="1A1A1A"/>
          <w:sz w:val="28"/>
          <w:szCs w:val="28"/>
          <w:lang w:eastAsia="ru-RU"/>
        </w:rPr>
        <w:t xml:space="preserve">  по всхожести  семян кресс-салата и редиса показали результат «Слабое загрязнение» на всех трёх участках, причём на участках №1 и №3 результаты исследования стремятся к показателю «Норма».</w:t>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sz w:val="28"/>
          <w:szCs w:val="28"/>
          <w:lang w:eastAsia="ru-RU"/>
        </w:rPr>
        <w:t>Биоиндикации качества воды на определённых участках по макрофитам озера Невель показала следующие результаты:</w:t>
      </w:r>
      <w:r>
        <w:rPr>
          <w:rFonts w:eastAsia="Times New Roman" w:cs="Times New Roman" w:ascii="Times New Roman" w:hAnsi="Times New Roman"/>
          <w:color w:val="1A1A1A"/>
          <w:sz w:val="28"/>
          <w:szCs w:val="28"/>
          <w:lang w:eastAsia="ru-RU"/>
        </w:rPr>
        <w:t xml:space="preserve"> ведущий тип загрязнения на всех участках - органическое. Наибольшие признаки эвтрофикации и загрязнения тяжелыми металлами наблюдаются на участке №2. </w:t>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2. Исходя из результатов, мы попытались найти причину загрязнения воды озера. Невель. Участок №1 находится на юго-западной окраине города, там нет промышленных предприятий, имеется только небольшая частная застройка со стороны берега, далее автомобильная дорога местного значения. Стоки с этих объектов дают слабое загрязнение. </w:t>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 xml:space="preserve">По нашему мнению, на участке №2 наблюдается более сильное загрязнение за счёт интенсивной жилой застройки, и работы автотранспортного предприятия. </w:t>
      </w:r>
      <w:r>
        <w:rPr>
          <w:rFonts w:cs="Times New Roman" w:ascii="Times New Roman" w:hAnsi="Times New Roman"/>
          <w:sz w:val="28"/>
          <w:szCs w:val="28"/>
        </w:rPr>
        <w:t xml:space="preserve">Дома частного сектора расположены от озера на расстоянии 50-60 м, большинство из них не подключены к централизованной канализации, поэтому неочищенные сточные воды через почву поступают в подземные воды, а затем уже в озеро. Они являются источником аммиака. Огороды частного сектора расположены вдоль берега озера на расстоянии 19 м, что приводит к попаданию излишков удобрений в озеро.  Примерно в 150 метрах от берега озера расположена автомобильная дорога, которая является источником загрязнения нефтепродуктами и взвешенными веществами. </w:t>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color w:val="1A1A1A"/>
          <w:sz w:val="28"/>
          <w:szCs w:val="28"/>
          <w:lang w:eastAsia="ru-RU"/>
        </w:rPr>
        <w:t>На участке №3 наблюдается улучшение качества воды за счёт самоочищения.</w:t>
      </w:r>
      <w:r>
        <w:rPr>
          <w:rFonts w:cs="Times New Roman" w:ascii="Times New Roman" w:hAnsi="Times New Roman"/>
          <w:color w:val="000000"/>
          <w:sz w:val="28"/>
          <w:szCs w:val="28"/>
        </w:rPr>
        <w:t xml:space="preserve"> Происходящего  естественным путем в результате протекания взаимосвязанных физико-химических, биохимических и других процессов.</w:t>
      </w:r>
    </w:p>
    <w:p>
      <w:pPr>
        <w:pStyle w:val="Normal"/>
        <w:shd w:val="clear" w:color="auto" w:fill="FFFFFF"/>
        <w:ind w:firstLine="567"/>
        <w:jc w:val="both"/>
        <w:rPr>
          <w:rFonts w:ascii="Times New Roman" w:hAnsi="Times New Roman" w:cs="Times New Roman"/>
          <w:sz w:val="28"/>
          <w:szCs w:val="28"/>
        </w:rPr>
      </w:pPr>
      <w:r>
        <w:rPr>
          <w:rFonts w:cs="Times New Roman" w:ascii="Times New Roman" w:hAnsi="Times New Roman"/>
          <w:color w:val="000000"/>
          <w:sz w:val="28"/>
          <w:szCs w:val="28"/>
        </w:rPr>
        <w:t>3. В нашем исследовании мы обозначили комплекс мероприятий по охране вод озера Невель, в которых ведущая роль отведена эковолонтёрам и местному населению.</w:t>
      </w:r>
    </w:p>
    <w:p>
      <w:pPr>
        <w:pStyle w:val="Normal"/>
        <w:shd w:val="clear" w:color="auto" w:fill="FFFFFF"/>
        <w:ind w:firstLine="567"/>
        <w:jc w:val="both"/>
        <w:rPr>
          <w:rFonts w:ascii="Times New Roman" w:hAnsi="Times New Roman" w:cs="Times New Roman"/>
          <w:sz w:val="28"/>
          <w:szCs w:val="28"/>
        </w:rPr>
      </w:pPr>
      <w:r>
        <w:rPr>
          <w:rFonts w:eastAsia="Times New Roman" w:cs="Times New Roman" w:ascii="Times New Roman" w:hAnsi="Times New Roman"/>
          <w:sz w:val="28"/>
          <w:szCs w:val="28"/>
          <w:lang w:eastAsia="ru-RU"/>
        </w:rPr>
        <w:t>Наша гипотеза подтверждена, цель исследования достигнута.</w:t>
      </w:r>
    </w:p>
    <w:p>
      <w:pPr>
        <w:pStyle w:val="Normal"/>
        <w:shd w:val="clear" w:color="auto" w:fill="FFFFFF"/>
        <w:ind w:firstLine="567"/>
        <w:jc w:val="both"/>
        <w:rPr>
          <w:rFonts w:ascii="Times New Roman" w:hAnsi="Times New Roman" w:cs="Times New Roman"/>
          <w:b/>
          <w:b/>
        </w:rPr>
      </w:pPr>
      <w:r>
        <w:rPr>
          <w:rFonts w:cs="Times New Roman" w:ascii="Times New Roman" w:hAnsi="Times New Roman"/>
          <w:b/>
        </w:rPr>
      </w:r>
      <w:r>
        <w:br w:type="page"/>
      </w:r>
    </w:p>
    <w:p>
      <w:pPr>
        <w:pStyle w:val="Normal"/>
        <w:shd w:val="clear" w:color="auto" w:fill="FFFFFF"/>
        <w:ind w:firstLine="567"/>
        <w:jc w:val="center"/>
        <w:rPr>
          <w:rFonts w:ascii="Times New Roman" w:hAnsi="Times New Roman" w:cs="Times New Roman"/>
          <w:sz w:val="28"/>
          <w:szCs w:val="28"/>
        </w:rPr>
      </w:pPr>
      <w:r>
        <w:rPr>
          <w:rFonts w:cs="Times New Roman" w:ascii="Times New Roman" w:hAnsi="Times New Roman"/>
          <w:b/>
          <w:sz w:val="28"/>
          <w:szCs w:val="28"/>
        </w:rPr>
        <w:t xml:space="preserve">6. </w:t>
      </w:r>
      <w:r>
        <w:rPr>
          <w:rFonts w:cs="Times New Roman" w:ascii="Times New Roman" w:hAnsi="Times New Roman"/>
          <w:b/>
          <w:sz w:val="28"/>
          <w:szCs w:val="28"/>
        </w:rPr>
        <w:t>Cписок л</w:t>
      </w:r>
      <w:r>
        <w:rPr>
          <w:rFonts w:cs="Times New Roman" w:ascii="Times New Roman" w:hAnsi="Times New Roman"/>
          <w:b/>
          <w:sz w:val="28"/>
          <w:szCs w:val="28"/>
        </w:rPr>
        <w:t>итератур</w:t>
      </w:r>
      <w:r>
        <w:rPr>
          <w:rFonts w:cs="Times New Roman" w:ascii="Times New Roman" w:hAnsi="Times New Roman"/>
          <w:b/>
          <w:sz w:val="28"/>
          <w:szCs w:val="28"/>
        </w:rPr>
        <w:t>ы</w:t>
      </w:r>
    </w:p>
    <w:p>
      <w:pPr>
        <w:pStyle w:val="Normal"/>
        <w:spacing w:before="0" w:after="0"/>
        <w:contextualSpacing/>
        <w:jc w:val="both"/>
        <w:rPr>
          <w:rFonts w:ascii="Times New Roman" w:hAnsi="Times New Roman" w:cs="Times New Roman"/>
          <w:sz w:val="28"/>
          <w:szCs w:val="28"/>
        </w:rPr>
      </w:pPr>
      <w:r>
        <w:rPr>
          <w:rFonts w:cs="Times New Roman" w:ascii="Times New Roman" w:hAnsi="Times New Roman"/>
          <w:sz w:val="28"/>
          <w:szCs w:val="28"/>
        </w:rPr>
        <w:tab/>
        <w:t>1. Биоиндикация и биотестирование в пресноводных экосистемах/Авторский коллектив: Зуева Н.В., Алексеев Д.К., Куличенко А.Ю., Примак Е.А., Зуев Ю.А., Воякина Е.Ю., Степанова А.Б./:учебное пособие для высших учебных заведений. – СПб.: РГГМУ, 2019. – 140 с.</w:t>
      </w:r>
    </w:p>
    <w:p>
      <w:pPr>
        <w:pStyle w:val="Normal"/>
        <w:spacing w:before="0" w:after="0"/>
        <w:contextualSpacing/>
        <w:jc w:val="both"/>
        <w:rPr>
          <w:rFonts w:ascii="Times New Roman" w:hAnsi="Times New Roman" w:cs="Times New Roman"/>
        </w:rPr>
      </w:pPr>
      <w:r>
        <w:rPr>
          <w:rFonts w:cs="Times New Roman" w:ascii="Times New Roman" w:hAnsi="Times New Roman"/>
          <w:sz w:val="28"/>
          <w:szCs w:val="28"/>
        </w:rPr>
        <w:tab/>
        <w:t>2.</w:t>
      </w:r>
      <w:r>
        <w:rPr>
          <w:rFonts w:cs="Times New Roman" w:ascii="Times New Roman" w:hAnsi="Times New Roman"/>
          <w:bCs/>
          <w:sz w:val="28"/>
          <w:szCs w:val="28"/>
        </w:rPr>
        <w:t xml:space="preserve"> Работы Фердинанда Кона</w:t>
      </w:r>
      <w:r>
        <w:rPr>
          <w:rFonts w:cs="Times New Roman" w:ascii="Times New Roman" w:hAnsi="Times New Roman"/>
          <w:sz w:val="28"/>
          <w:szCs w:val="28"/>
        </w:rPr>
        <w:t xml:space="preserve">. </w:t>
      </w:r>
      <w:hyperlink r:id="rId2">
        <w:r>
          <w:rPr>
            <w:rFonts w:cs="Times New Roman" w:ascii="Times New Roman" w:hAnsi="Times New Roman"/>
            <w:sz w:val="28"/>
            <w:szCs w:val="28"/>
          </w:rPr>
          <w:t>https://studfile.net/preview/1152635/page:7/</w:t>
        </w:r>
      </w:hyperlink>
    </w:p>
    <w:p>
      <w:pPr>
        <w:pStyle w:val="Normal"/>
        <w:spacing w:before="0" w:after="0"/>
        <w:contextualSpacing/>
        <w:jc w:val="both"/>
        <w:rPr>
          <w:rFonts w:ascii="Times New Roman" w:hAnsi="Times New Roman" w:cs="Times New Roman"/>
          <w:sz w:val="28"/>
          <w:szCs w:val="28"/>
        </w:rPr>
      </w:pPr>
      <w:r>
        <w:rPr>
          <w:rFonts w:cs="Times New Roman" w:ascii="Times New Roman" w:hAnsi="Times New Roman"/>
          <w:sz w:val="28"/>
          <w:szCs w:val="28"/>
        </w:rPr>
        <w:tab/>
        <w:t>3. Гидробиология в датах. Хронология ключевых научных событий. https://pandia.org/text/78/534/81009.php</w:t>
      </w:r>
    </w:p>
    <w:p>
      <w:pPr>
        <w:pStyle w:val="Default"/>
        <w:jc w:val="both"/>
        <w:rPr>
          <w:sz w:val="28"/>
          <w:szCs w:val="28"/>
        </w:rPr>
      </w:pPr>
      <w:r>
        <w:rPr>
          <w:color w:val="auto"/>
          <w:sz w:val="28"/>
          <w:szCs w:val="28"/>
        </w:rPr>
        <w:tab/>
        <w:t xml:space="preserve">4. </w:t>
      </w:r>
      <w:r>
        <w:rPr>
          <w:bCs/>
          <w:color w:val="auto"/>
          <w:sz w:val="28"/>
          <w:szCs w:val="28"/>
        </w:rPr>
        <w:t xml:space="preserve">Чуйко Григорий Михайлович. </w:t>
      </w:r>
      <w:r>
        <w:rPr>
          <w:color w:val="auto"/>
          <w:sz w:val="28"/>
          <w:szCs w:val="28"/>
        </w:rPr>
        <w:t>Комплексная оценка биоэкологических и химических систем : учебное пособие / Г. М. Чуйко, И. И. Томилина, Н. В. Холмогорова ; Яросл. гос. ун-т им. П. Г. Демидова. — Ярославль : ЯрГУ, 2018. — 140 с.</w:t>
      </w:r>
    </w:p>
    <w:p>
      <w:pPr>
        <w:pStyle w:val="Normal"/>
        <w:shd w:val="clear" w:color="auto" w:fill="FFFFFF"/>
        <w:jc w:val="both"/>
        <w:rPr>
          <w:rFonts w:ascii="Times New Roman" w:hAnsi="Times New Roman" w:cs="Times New Roman"/>
          <w:sz w:val="28"/>
          <w:szCs w:val="28"/>
        </w:rPr>
      </w:pPr>
      <w:r>
        <w:rPr>
          <w:rFonts w:cs="Times New Roman" w:ascii="Times New Roman" w:hAnsi="Times New Roman"/>
          <w:sz w:val="28"/>
          <w:szCs w:val="28"/>
        </w:rPr>
        <w:tab/>
        <w:t xml:space="preserve">5. </w:t>
      </w:r>
      <w:r>
        <w:rPr>
          <w:rFonts w:eastAsia="Times New Roman" w:cs="Times New Roman" w:ascii="Times New Roman" w:hAnsi="Times New Roman"/>
          <w:sz w:val="28"/>
          <w:szCs w:val="28"/>
          <w:lang w:eastAsia="ru-RU"/>
        </w:rPr>
        <w:t>Биодиагностика и оценка качества природной среды: подходы, методы, критерии и эталоны сравнения в экотоксикологии: Материалы международного симпозиума, МГУ, 25–28 октября 2016 г. – М.: ГЕОС, 2016 – 434 c.</w:t>
      </w:r>
    </w:p>
    <w:p>
      <w:pPr>
        <w:pStyle w:val="Normal"/>
        <w:jc w:val="both"/>
        <w:rPr>
          <w:rFonts w:ascii="Times New Roman" w:hAnsi="Times New Roman" w:cs="Times New Roman"/>
          <w:sz w:val="28"/>
          <w:szCs w:val="28"/>
        </w:rPr>
      </w:pPr>
      <w:r>
        <w:rPr>
          <w:rFonts w:eastAsia="Times New Roman" w:cs="Times New Roman" w:ascii="Times New Roman" w:hAnsi="Times New Roman"/>
          <w:sz w:val="28"/>
          <w:szCs w:val="28"/>
          <w:lang w:eastAsia="ru-RU"/>
        </w:rPr>
        <w:tab/>
        <w:t>6. Власов Б.П., Гигевич Г.С. Использование высших водных растеий для оценки и контроля за состоянием водной среды: Метод. рекомендации. -Мн.: БГУ, 2002. -84 с.</w:t>
      </w:r>
    </w:p>
    <w:p>
      <w:pPr>
        <w:pStyle w:val="Normal"/>
        <w:spacing w:before="0" w:after="0"/>
        <w:contextualSpacing/>
        <w:jc w:val="both"/>
        <w:rPr>
          <w:rFonts w:ascii="Times New Roman" w:hAnsi="Times New Roman" w:cs="Times New Roman"/>
          <w:sz w:val="28"/>
          <w:szCs w:val="28"/>
        </w:rPr>
      </w:pPr>
      <w:r>
        <w:rPr>
          <w:rFonts w:eastAsia="TimesNewRoman" w:cs="Times New Roman" w:ascii="Times New Roman" w:hAnsi="Times New Roman"/>
          <w:sz w:val="28"/>
          <w:szCs w:val="28"/>
        </w:rPr>
        <w:tab/>
        <w:t>7.</w:t>
      </w:r>
      <w:r>
        <w:rPr>
          <w:rFonts w:cs="Times New Roman" w:ascii="Times New Roman" w:hAnsi="Times New Roman"/>
          <w:b/>
          <w:bCs/>
          <w:sz w:val="28"/>
          <w:szCs w:val="28"/>
          <w:shd w:fill="FFFFFF" w:val="clear"/>
        </w:rPr>
        <w:t xml:space="preserve"> </w:t>
      </w:r>
      <w:r>
        <w:rPr>
          <w:rFonts w:cs="Times New Roman" w:ascii="Times New Roman" w:hAnsi="Times New Roman"/>
          <w:sz w:val="28"/>
          <w:szCs w:val="28"/>
        </w:rPr>
        <w:t>Озеров А. Г. Исследовательская деятельность учащихся в природе. Учебно-методическое издание. - М.ФЦДЮТиК,216с., илл., стр 158.</w:t>
      </w:r>
    </w:p>
    <w:p>
      <w:pPr>
        <w:pStyle w:val="Normal"/>
        <w:shd w:val="clear" w:color="auto" w:fill="FFFFFF" w:themeFill="background1"/>
        <w:jc w:val="both"/>
        <w:rPr>
          <w:rFonts w:ascii="Times New Roman" w:hAnsi="Times New Roman" w:cs="Times New Roman"/>
        </w:rPr>
      </w:pPr>
      <w:r>
        <w:rPr>
          <w:rFonts w:cs="Times New Roman" w:ascii="Times New Roman" w:hAnsi="Times New Roman"/>
          <w:sz w:val="28"/>
          <w:szCs w:val="28"/>
        </w:rPr>
        <w:tab/>
        <w:t>8.</w:t>
      </w:r>
      <w:r>
        <w:rPr>
          <w:rFonts w:cs="Times New Roman" w:ascii="Times New Roman" w:hAnsi="Times New Roman"/>
          <w:b/>
          <w:bCs/>
          <w:sz w:val="28"/>
          <w:szCs w:val="28"/>
        </w:rPr>
        <w:t xml:space="preserve"> </w:t>
      </w:r>
      <w:r>
        <w:rPr>
          <w:rFonts w:eastAsia="Times New Roman" w:cs="Times New Roman" w:ascii="Times New Roman" w:hAnsi="Times New Roman"/>
          <w:bCs/>
          <w:sz w:val="28"/>
          <w:szCs w:val="28"/>
          <w:lang w:eastAsia="ru-RU"/>
        </w:rPr>
        <w:t>К</w:t>
      </w:r>
      <w:r>
        <w:rPr>
          <w:rFonts w:eastAsia="Times New Roman" w:cs="Times New Roman" w:ascii="Times New Roman" w:hAnsi="Times New Roman"/>
          <w:sz w:val="28"/>
          <w:szCs w:val="28"/>
          <w:lang w:eastAsia="ru-RU"/>
        </w:rPr>
        <w:t>онцевая</w:t>
      </w:r>
      <w:r>
        <w:rPr>
          <w:rFonts w:eastAsia="Times New Roman" w:cs="Times New Roman" w:ascii="Times New Roman" w:hAnsi="Times New Roman"/>
          <w:sz w:val="28"/>
          <w:szCs w:val="28"/>
          <w:vertAlign w:val="superscript"/>
          <w:lang w:eastAsia="ru-RU"/>
        </w:rPr>
        <w:t xml:space="preserve"> </w:t>
      </w:r>
      <w:r>
        <w:rPr>
          <w:rFonts w:eastAsia="Times New Roman" w:cs="Times New Roman" w:ascii="Times New Roman" w:hAnsi="Times New Roman"/>
          <w:sz w:val="28"/>
          <w:szCs w:val="28"/>
          <w:lang w:eastAsia="ru-RU"/>
        </w:rPr>
        <w:t xml:space="preserve">Ирина Ильинична, Толкачева Татьяна Александровна. Совершенствование методики биотестирования на основе </w:t>
      </w:r>
      <w:r>
        <w:rPr>
          <w:rFonts w:cs="Times New Roman" w:ascii="Times New Roman" w:hAnsi="Times New Roman"/>
          <w:bCs/>
          <w:iCs/>
          <w:sz w:val="28"/>
          <w:szCs w:val="28"/>
          <w:shd w:fill="FFFFFF" w:val="clear"/>
        </w:rPr>
        <w:t>ALLIUM-теста.</w:t>
      </w:r>
      <w:r>
        <w:rPr>
          <w:rFonts w:eastAsia="Times New Roman" w:cs="Times New Roman" w:ascii="Times New Roman" w:hAnsi="Times New Roman"/>
          <w:sz w:val="28"/>
          <w:szCs w:val="28"/>
          <w:shd w:fill="FFFFFF" w:val="clear"/>
          <w:lang w:eastAsia="ru-RU"/>
        </w:rPr>
        <w:t xml:space="preserve"> </w:t>
      </w:r>
      <w:hyperlink r:id="rId3" w:tgtFrame="Содержание выпусков этого журнала">
        <w:r>
          <w:rPr>
            <w:rFonts w:cs="Times New Roman" w:ascii="Times New Roman" w:hAnsi="Times New Roman"/>
            <w:color w:val="000000"/>
            <w:sz w:val="28"/>
            <w:szCs w:val="28"/>
            <w:shd w:fill="FFFFFF" w:val="clear"/>
          </w:rPr>
          <w:t>ВЕСНІК ВІЦЕБСКАГА ДЗЯРЖАЎНАГА УНІВЕРСІТЭТА</w:t>
        </w:r>
      </w:hyperlink>
      <w:r>
        <w:rPr>
          <w:rFonts w:cs="Times New Roman" w:ascii="Times New Roman" w:hAnsi="Times New Roman"/>
          <w:sz w:val="28"/>
          <w:szCs w:val="28"/>
          <w:shd w:fill="FFFFFF" w:val="clear"/>
        </w:rPr>
        <w:t xml:space="preserve"> Учредители: Витебский государственный университет им. П.М. Машерова. Номер: </w:t>
      </w:r>
      <w:hyperlink r:id="rId4" w:tgtFrame="Содержание выпуска">
        <w:r>
          <w:rPr>
            <w:rFonts w:cs="Times New Roman" w:ascii="Times New Roman" w:hAnsi="Times New Roman"/>
            <w:color w:val="000000"/>
            <w:sz w:val="28"/>
            <w:szCs w:val="28"/>
            <w:shd w:fill="FFFFFF" w:val="clear"/>
          </w:rPr>
          <w:t>6 (72)</w:t>
        </w:r>
      </w:hyperlink>
      <w:r>
        <w:rPr>
          <w:rFonts w:cs="Times New Roman" w:ascii="Times New Roman" w:hAnsi="Times New Roman"/>
          <w:sz w:val="28"/>
          <w:szCs w:val="28"/>
          <w:shd w:fill="FFFFFF" w:val="clear"/>
        </w:rPr>
        <w:t> Год: 2012</w:t>
      </w:r>
      <w:r>
        <w:rPr>
          <w:rFonts w:cs="Times New Roman" w:ascii="Times New Roman" w:hAnsi="Times New Roman"/>
          <w:sz w:val="28"/>
          <w:szCs w:val="28"/>
          <w:shd w:fill="F5F5F5" w:val="clear"/>
        </w:rPr>
        <w:t> </w:t>
      </w:r>
      <w:r>
        <w:rPr>
          <w:rFonts w:cs="Times New Roman" w:ascii="Times New Roman" w:hAnsi="Times New Roman"/>
          <w:sz w:val="28"/>
          <w:szCs w:val="28"/>
        </w:rPr>
        <w:t>Страницы: 57-65</w:t>
      </w:r>
    </w:p>
    <w:p>
      <w:pPr>
        <w:pStyle w:val="Normal"/>
        <w:shd w:val="clear" w:color="auto" w:fill="FFFFFF" w:themeFill="background1"/>
        <w:jc w:val="both"/>
        <w:rPr>
          <w:rFonts w:ascii="Times New Roman" w:hAnsi="Times New Roman" w:cs="Times New Roman"/>
        </w:rPr>
      </w:pPr>
      <w:r>
        <w:rPr>
          <w:rFonts w:cs="Times New Roman" w:ascii="Times New Roman" w:hAnsi="Times New Roman"/>
          <w:sz w:val="28"/>
          <w:szCs w:val="28"/>
        </w:rPr>
        <w:tab/>
        <w:t>9.  Р.Р. Кабиров, Л.М. Сафиуллина. Экология, ценология, охрана и роль водорослей в природе. http://dspace.nbuv.gov.ua/bitstream/handle/123456789/5429/03-Kabirov.pdf</w:t>
      </w:r>
    </w:p>
    <w:p>
      <w:pPr>
        <w:pStyle w:val="Normal"/>
        <w:shd w:val="clear" w:color="auto" w:fill="FFFFFF" w:themeFill="background1"/>
        <w:jc w:val="both"/>
        <w:rPr>
          <w:rFonts w:ascii="Times New Roman" w:hAnsi="Times New Roman" w:cs="Times New Roman"/>
          <w:color w:val="000000"/>
          <w:sz w:val="28"/>
          <w:szCs w:val="28"/>
        </w:rPr>
      </w:pPr>
      <w:r>
        <w:rPr>
          <w:rFonts w:cs="Times New Roman" w:ascii="Times New Roman" w:hAnsi="Times New Roman"/>
          <w:color w:val="000000"/>
          <w:sz w:val="28"/>
          <w:szCs w:val="28"/>
        </w:rPr>
        <w:tab/>
        <w:t>10. Шанцер И.А. Растения средней полосы Европейской России : полевой атлас / И. А. Шанцер ; Программа ОБН РАН "Фундамент. основы упр. биол. ресурсами", Гл. ботан. сад им. Н. В. Цицина РАН. - Москва : Товариществово науч. изд. КМК, 2004. - 423 с. : цв. ил.; 17 см.</w:t>
      </w:r>
    </w:p>
    <w:p>
      <w:pPr>
        <w:pStyle w:val="Normal"/>
        <w:shd w:val="clear" w:color="auto" w:fill="FFFFFF" w:themeFill="background1"/>
        <w:jc w:val="both"/>
        <w:rPr>
          <w:rFonts w:ascii="Times New Roman" w:hAnsi="Times New Roman" w:cs="Times New Roman"/>
          <w:color w:val="000000"/>
          <w:sz w:val="28"/>
        </w:rPr>
      </w:pPr>
      <w:r>
        <w:rPr>
          <w:rFonts w:cs="Times New Roman" w:ascii="Times New Roman" w:hAnsi="Times New Roman"/>
          <w:color w:val="000000"/>
          <w:sz w:val="28"/>
          <w:szCs w:val="28"/>
        </w:rPr>
        <w:tab/>
        <w:t xml:space="preserve">11. </w:t>
      </w:r>
      <w:r>
        <w:rPr>
          <w:rFonts w:cs="Times New Roman" w:ascii="Times New Roman" w:hAnsi="Times New Roman"/>
          <w:color w:val="222222"/>
          <w:sz w:val="28"/>
          <w:szCs w:val="28"/>
        </w:rPr>
        <w:t>Школьный атлас-определитель высших растений : Кн. для учащихся / В. С. Новиков, И. А. Губанов. - Москва : Просвещение, 1985. - 238,[2] с. : ил.; 22</w:t>
      </w:r>
    </w:p>
    <w:p>
      <w:pPr>
        <w:pStyle w:val="Normal"/>
        <w:shd w:val="clear" w:color="auto" w:fill="FFFFFF"/>
        <w:jc w:val="both"/>
        <w:rPr>
          <w:rFonts w:ascii="Times New Roman" w:hAnsi="Times New Roman" w:cs="Times New Roman"/>
          <w:sz w:val="28"/>
          <w:szCs w:val="28"/>
        </w:rPr>
      </w:pPr>
      <w:r>
        <w:rPr>
          <w:rFonts w:eastAsia="Times New Roman" w:cs="Times New Roman" w:ascii="Times New Roman" w:hAnsi="Times New Roman"/>
          <w:sz w:val="28"/>
          <w:szCs w:val="28"/>
          <w:lang w:eastAsia="ru-RU"/>
        </w:rPr>
        <w:tab/>
        <w:t>12. Экологические методы оценки качества водоемов с помощью гидробионтов [Электронный ресурс]: практикум /А. А. Шайхутдинова; Оренбургский гос. ун-т. – Оренбург : ОГУ, 2019</w:t>
      </w:r>
    </w:p>
    <w:p>
      <w:pPr>
        <w:pStyle w:val="Normal"/>
        <w:shd w:val="clear" w:color="auto" w:fill="FFFFFF"/>
        <w:jc w:val="both"/>
        <w:rPr>
          <w:rFonts w:ascii="Times New Roman" w:hAnsi="Times New Roman" w:cs="Times New Roman"/>
          <w:sz w:val="28"/>
          <w:szCs w:val="28"/>
        </w:rPr>
      </w:pPr>
      <w:r>
        <w:rPr>
          <w:rFonts w:eastAsia="Times New Roman" w:cs="Times New Roman" w:ascii="Times New Roman" w:hAnsi="Times New Roman"/>
          <w:sz w:val="28"/>
          <w:szCs w:val="28"/>
          <w:lang w:eastAsia="ru-RU"/>
        </w:rPr>
        <w:tab/>
        <w:t xml:space="preserve">13. </w:t>
      </w:r>
      <w:hyperlink r:id="rId5">
        <w:r>
          <w:rPr>
            <w:rFonts w:eastAsia="Times New Roman" w:cs="Times New Roman" w:ascii="Times New Roman" w:hAnsi="Times New Roman"/>
            <w:color w:val="000000"/>
            <w:sz w:val="28"/>
            <w:szCs w:val="28"/>
            <w:lang w:eastAsia="ru-RU"/>
          </w:rPr>
          <w:t>https://ru.wikipedia.org/wiki/Невель_(озеро)#:~:text=Невель%20(Невельское)%20</w:t>
        </w:r>
      </w:hyperlink>
      <w:r>
        <w:rPr>
          <w:rFonts w:eastAsia="Times New Roman" w:cs="Times New Roman" w:ascii="Times New Roman" w:hAnsi="Times New Roman"/>
          <w:color w:val="000000"/>
          <w:sz w:val="28"/>
          <w:szCs w:val="28"/>
          <w:lang w:eastAsia="ru-RU"/>
        </w:rPr>
        <w:t>—%20озеро%20в,берегу%20озера%20расположен%20город%20Невель</w:t>
      </w:r>
    </w:p>
    <w:p>
      <w:pPr>
        <w:pStyle w:val="Normal"/>
        <w:shd w:val="clear" w:color="auto" w:fill="FFFFFF"/>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hd w:val="clear" w:color="auto" w:fill="FFFFFF"/>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shd w:val="clear" w:color="auto" w:fill="FFFFFF"/>
        <w:rPr>
          <w:rFonts w:ascii="Times New Roman" w:hAnsi="Times New Roman" w:eastAsia="Times New Roman" w:cs="Times New Roman"/>
          <w:color w:val="1A1A1A"/>
          <w:sz w:val="28"/>
          <w:szCs w:val="28"/>
          <w:lang w:eastAsia="ru-RU"/>
        </w:rPr>
      </w:pPr>
      <w:r>
        <w:rPr>
          <w:rFonts w:cs="Times New Roman" w:ascii="Times New Roman" w:hAnsi="Times New Roman"/>
          <w:spacing w:val="2"/>
          <w:sz w:val="28"/>
          <w:szCs w:val="28"/>
        </w:rPr>
        <w:t xml:space="preserve">                                                                                                         </w:t>
      </w:r>
      <w:r>
        <w:rPr>
          <w:rFonts w:cs="Times New Roman" w:ascii="Times New Roman" w:hAnsi="Times New Roman"/>
          <w:spacing w:val="2"/>
          <w:sz w:val="28"/>
          <w:szCs w:val="28"/>
        </w:rPr>
        <w:t>Приложение 1</w:t>
      </w:r>
    </w:p>
    <w:p>
      <w:pPr>
        <w:pStyle w:val="Normal"/>
        <w:shd w:val="clear" w:color="auto" w:fill="FFFFFF"/>
        <w:rPr>
          <w:rFonts w:ascii="Times New Roman" w:hAnsi="Times New Roman" w:eastAsia="Times New Roman" w:cs="Times New Roman"/>
          <w:color w:val="1A1A1A"/>
          <w:sz w:val="28"/>
          <w:szCs w:val="28"/>
          <w:lang w:eastAsia="ru-RU"/>
        </w:rPr>
      </w:pPr>
      <w:r>
        <w:rPr>
          <w:rFonts w:eastAsia="Times New Roman" w:cs="Times New Roman" w:ascii="Times New Roman" w:hAnsi="Times New Roman"/>
          <w:color w:val="1A1A1A"/>
          <w:sz w:val="28"/>
          <w:szCs w:val="28"/>
          <w:lang w:eastAsia="ru-RU"/>
        </w:rPr>
      </w:r>
    </w:p>
    <w:p>
      <w:pPr>
        <w:pStyle w:val="Default"/>
        <w:rPr>
          <w:sz w:val="28"/>
          <w:szCs w:val="28"/>
        </w:rPr>
      </w:pPr>
      <w:r>
        <w:rPr/>
        <w:t xml:space="preserve">                                         </w:t>
      </w:r>
      <w:r>
        <w:rPr/>
        <w:drawing>
          <wp:inline distT="0" distB="0" distL="0" distR="0">
            <wp:extent cx="2442845" cy="392366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6"/>
                    <a:stretch>
                      <a:fillRect/>
                    </a:stretch>
                  </pic:blipFill>
                  <pic:spPr bwMode="auto">
                    <a:xfrm>
                      <a:off x="0" y="0"/>
                      <a:ext cx="2442845" cy="3923665"/>
                    </a:xfrm>
                    <a:prstGeom prst="rect">
                      <a:avLst/>
                    </a:prstGeom>
                  </pic:spPr>
                </pic:pic>
              </a:graphicData>
            </a:graphic>
          </wp:inline>
        </w:drawing>
      </w:r>
    </w:p>
    <w:p>
      <w:pPr>
        <w:pStyle w:val="Default"/>
        <w:rPr/>
      </w:pPr>
      <w:r>
        <w:rPr>
          <w:sz w:val="28"/>
          <w:szCs w:val="28"/>
        </w:rPr>
        <w:t xml:space="preserve">                                   </w:t>
      </w:r>
      <w:r>
        <w:rPr>
          <w:sz w:val="28"/>
          <w:szCs w:val="28"/>
        </w:rPr>
        <w:t>Карта-схема расположения Участка №1</w:t>
      </w:r>
    </w:p>
    <w:p>
      <w:pPr>
        <w:pStyle w:val="Default"/>
        <w:rPr>
          <w:sz w:val="28"/>
          <w:szCs w:val="28"/>
        </w:rPr>
      </w:pPr>
      <w:r>
        <w:rPr>
          <w:sz w:val="28"/>
          <w:szCs w:val="28"/>
        </w:rPr>
      </w:r>
    </w:p>
    <w:p>
      <w:pPr>
        <w:pStyle w:val="Default"/>
        <w:rPr>
          <w:b/>
          <w:b/>
          <w:bCs/>
        </w:rPr>
      </w:pPr>
      <w:r>
        <w:rPr>
          <w:b/>
          <w:bCs/>
          <w:sz w:val="28"/>
          <w:szCs w:val="28"/>
        </w:rPr>
        <w:t xml:space="preserve"> </w:t>
      </w:r>
    </w:p>
    <w:p>
      <w:pPr>
        <w:pStyle w:val="Default"/>
        <w:rPr>
          <w:sz w:val="28"/>
          <w:szCs w:val="28"/>
        </w:rPr>
      </w:pPr>
      <w:r>
        <w:rPr/>
        <w:t xml:space="preserve">              </w:t>
      </w:r>
      <w:r>
        <w:rPr/>
        <w:drawing>
          <wp:inline distT="0" distB="0" distL="0" distR="0">
            <wp:extent cx="4655820" cy="3103880"/>
            <wp:effectExtent l="0" t="0" r="0" b="0"/>
            <wp:docPr id="2" name="Изображение1" descr="https://phototowns.ru/wp-content/uploads/2013/01/IMG_0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https://phototowns.ru/wp-content/uploads/2013/01/IMG_06961.jpg"/>
                    <pic:cNvPicPr>
                      <a:picLocks noChangeAspect="1" noChangeArrowheads="1"/>
                    </pic:cNvPicPr>
                  </pic:nvPicPr>
                  <pic:blipFill>
                    <a:blip r:embed="rId7"/>
                    <a:stretch>
                      <a:fillRect/>
                    </a:stretch>
                  </pic:blipFill>
                  <pic:spPr bwMode="auto">
                    <a:xfrm>
                      <a:off x="0" y="0"/>
                      <a:ext cx="4655820" cy="3103880"/>
                    </a:xfrm>
                    <a:prstGeom prst="rect">
                      <a:avLst/>
                    </a:prstGeom>
                  </pic:spPr>
                </pic:pic>
              </a:graphicData>
            </a:graphic>
          </wp:inline>
        </w:drawing>
      </w:r>
    </w:p>
    <w:p>
      <w:pPr>
        <w:pStyle w:val="Default"/>
        <w:rPr>
          <w:sz w:val="28"/>
          <w:szCs w:val="28"/>
        </w:rPr>
      </w:pPr>
      <w:r>
        <w:rPr>
          <w:sz w:val="28"/>
          <w:szCs w:val="28"/>
        </w:rPr>
        <w:t xml:space="preserve">                                                 </w:t>
      </w:r>
      <w:r>
        <w:rPr>
          <w:sz w:val="28"/>
          <w:szCs w:val="28"/>
        </w:rPr>
        <w:t>Фото 1. Участок №1</w:t>
      </w:r>
    </w:p>
    <w:p>
      <w:pPr>
        <w:pStyle w:val="Default"/>
        <w:rPr>
          <w:spacing w:val="2"/>
          <w:sz w:val="28"/>
          <w:szCs w:val="28"/>
        </w:rPr>
      </w:pPr>
      <w:r>
        <w:rPr>
          <w:sz w:val="28"/>
          <w:szCs w:val="28"/>
        </w:rPr>
        <w:t xml:space="preserve">                                                                                                                             </w:t>
      </w:r>
      <w:r>
        <w:rPr>
          <w:spacing w:val="2"/>
          <w:sz w:val="28"/>
          <w:szCs w:val="28"/>
        </w:rPr>
        <w:t xml:space="preserve">     </w:t>
      </w:r>
    </w:p>
    <w:p>
      <w:pPr>
        <w:pStyle w:val="Default"/>
        <w:rPr>
          <w:spacing w:val="2"/>
          <w:sz w:val="28"/>
          <w:szCs w:val="28"/>
        </w:rPr>
      </w:pPr>
      <w:r>
        <w:rPr>
          <w:spacing w:val="2"/>
          <w:sz w:val="28"/>
          <w:szCs w:val="28"/>
        </w:rPr>
      </w:r>
    </w:p>
    <w:p>
      <w:pPr>
        <w:pStyle w:val="Default"/>
        <w:rPr>
          <w:sz w:val="28"/>
          <w:szCs w:val="28"/>
        </w:rPr>
      </w:pPr>
      <w:r>
        <w:rPr>
          <w:spacing w:val="2"/>
          <w:sz w:val="28"/>
          <w:szCs w:val="28"/>
        </w:rPr>
        <w:t xml:space="preserve">                                                                                                      </w:t>
      </w:r>
      <w:r>
        <w:rPr>
          <w:spacing w:val="2"/>
          <w:sz w:val="28"/>
          <w:szCs w:val="28"/>
        </w:rPr>
        <w:t>Приложение 2</w:t>
      </w:r>
    </w:p>
    <w:p>
      <w:pPr>
        <w:pStyle w:val="Default"/>
        <w:jc w:val="right"/>
        <w:rPr>
          <w:sz w:val="28"/>
          <w:szCs w:val="28"/>
        </w:rPr>
      </w:pPr>
      <w:r>
        <w:rPr>
          <w:sz w:val="28"/>
          <w:szCs w:val="28"/>
        </w:rPr>
      </w:r>
    </w:p>
    <w:p>
      <w:pPr>
        <w:pStyle w:val="Default"/>
        <w:rPr>
          <w:sz w:val="28"/>
          <w:szCs w:val="28"/>
        </w:rPr>
      </w:pPr>
      <w:r>
        <w:rPr/>
        <w:t xml:space="preserve">                           </w:t>
      </w:r>
      <w:r>
        <w:rPr/>
        <w:drawing>
          <wp:inline distT="0" distB="0" distL="0" distR="0">
            <wp:extent cx="4065270" cy="3234690"/>
            <wp:effectExtent l="0" t="0" r="0" b="0"/>
            <wp:docPr id="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
                    <pic:cNvPicPr>
                      <a:picLocks noChangeAspect="1" noChangeArrowheads="1"/>
                    </pic:cNvPicPr>
                  </pic:nvPicPr>
                  <pic:blipFill>
                    <a:blip r:embed="rId8"/>
                    <a:stretch>
                      <a:fillRect/>
                    </a:stretch>
                  </pic:blipFill>
                  <pic:spPr bwMode="auto">
                    <a:xfrm>
                      <a:off x="0" y="0"/>
                      <a:ext cx="4065270" cy="3234690"/>
                    </a:xfrm>
                    <a:prstGeom prst="rect">
                      <a:avLst/>
                    </a:prstGeom>
                  </pic:spPr>
                </pic:pic>
              </a:graphicData>
            </a:graphic>
          </wp:inline>
        </w:drawing>
      </w:r>
    </w:p>
    <w:p>
      <w:pPr>
        <w:pStyle w:val="Default"/>
        <w:rPr>
          <w:sz w:val="28"/>
          <w:szCs w:val="28"/>
        </w:rPr>
      </w:pPr>
      <w:r>
        <w:rPr/>
        <w:t xml:space="preserve">                                       </w:t>
      </w:r>
      <w:r>
        <w:rPr/>
        <w:t>Карта-</w:t>
      </w:r>
      <w:r>
        <w:rPr>
          <w:sz w:val="28"/>
          <w:szCs w:val="28"/>
        </w:rPr>
        <w:t>схема</w:t>
      </w:r>
      <w:r>
        <w:rPr/>
        <w:t xml:space="preserve"> расположения Участка №2</w:t>
      </w:r>
    </w:p>
    <w:p>
      <w:pPr>
        <w:pStyle w:val="Default"/>
        <w:rPr>
          <w:sz w:val="28"/>
          <w:szCs w:val="28"/>
        </w:rPr>
      </w:pPr>
      <w:r>
        <w:rPr>
          <w:sz w:val="28"/>
          <w:szCs w:val="28"/>
        </w:rPr>
      </w:r>
    </w:p>
    <w:p>
      <w:pPr>
        <w:pStyle w:val="Default"/>
        <w:rPr>
          <w:sz w:val="28"/>
          <w:szCs w:val="28"/>
        </w:rPr>
      </w:pPr>
      <w:r>
        <w:rPr>
          <w:sz w:val="28"/>
          <w:szCs w:val="28"/>
        </w:rPr>
      </w:r>
    </w:p>
    <w:p>
      <w:pPr>
        <w:pStyle w:val="Default"/>
        <w:rPr>
          <w:sz w:val="28"/>
          <w:szCs w:val="28"/>
        </w:rPr>
      </w:pPr>
      <w:r>
        <w:rPr>
          <w:sz w:val="28"/>
          <w:szCs w:val="28"/>
        </w:rPr>
      </w:r>
    </w:p>
    <w:p>
      <w:pPr>
        <w:pStyle w:val="Default"/>
        <w:rPr>
          <w:sz w:val="28"/>
          <w:szCs w:val="28"/>
        </w:rPr>
      </w:pPr>
      <w:r>
        <w:rPr/>
        <w:t xml:space="preserve">                </w:t>
      </w:r>
      <w:r>
        <w:rPr/>
        <w:drawing>
          <wp:inline distT="0" distB="0" distL="0" distR="0">
            <wp:extent cx="4712335" cy="3587115"/>
            <wp:effectExtent l="0" t="0" r="0" b="0"/>
            <wp:docPr id="4" name="Рисунок 4" descr="https://nevelikc.ru/wp-content/uploads/2017/07/ozero-Senn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nevelikc.ru/wp-content/uploads/2017/07/ozero-Sennitsa.jpg"/>
                    <pic:cNvPicPr>
                      <a:picLocks noChangeAspect="1" noChangeArrowheads="1"/>
                    </pic:cNvPicPr>
                  </pic:nvPicPr>
                  <pic:blipFill>
                    <a:blip r:embed="rId9"/>
                    <a:stretch>
                      <a:fillRect/>
                    </a:stretch>
                  </pic:blipFill>
                  <pic:spPr bwMode="auto">
                    <a:xfrm>
                      <a:off x="0" y="0"/>
                      <a:ext cx="4712335" cy="3587115"/>
                    </a:xfrm>
                    <a:prstGeom prst="rect">
                      <a:avLst/>
                    </a:prstGeom>
                  </pic:spPr>
                </pic:pic>
              </a:graphicData>
            </a:graphic>
          </wp:inline>
        </w:drawing>
      </w:r>
    </w:p>
    <w:p>
      <w:pPr>
        <w:pStyle w:val="Default"/>
        <w:rPr>
          <w:sz w:val="28"/>
          <w:szCs w:val="28"/>
        </w:rPr>
      </w:pPr>
      <w:r>
        <w:rPr>
          <w:sz w:val="28"/>
          <w:szCs w:val="28"/>
        </w:rPr>
      </w:r>
    </w:p>
    <w:p>
      <w:pPr>
        <w:pStyle w:val="Default"/>
        <w:rPr>
          <w:sz w:val="28"/>
          <w:szCs w:val="28"/>
        </w:rPr>
      </w:pPr>
      <w:r>
        <w:rPr>
          <w:sz w:val="28"/>
          <w:szCs w:val="28"/>
        </w:rPr>
        <w:t xml:space="preserve">                                                  </w:t>
      </w:r>
      <w:r>
        <w:rPr>
          <w:sz w:val="28"/>
          <w:szCs w:val="28"/>
        </w:rPr>
        <w:t>Фото 2.  Участок №2</w:t>
      </w:r>
    </w:p>
    <w:p>
      <w:pPr>
        <w:pStyle w:val="Default"/>
        <w:rPr>
          <w:sz w:val="28"/>
          <w:szCs w:val="28"/>
        </w:rPr>
      </w:pPr>
      <w:r>
        <w:rPr>
          <w:sz w:val="28"/>
          <w:szCs w:val="28"/>
        </w:rPr>
      </w:r>
    </w:p>
    <w:p>
      <w:pPr>
        <w:pStyle w:val="Default"/>
        <w:rPr>
          <w:sz w:val="28"/>
          <w:szCs w:val="28"/>
        </w:rPr>
      </w:pPr>
      <w:r>
        <w:rPr>
          <w:sz w:val="28"/>
          <w:szCs w:val="28"/>
        </w:rPr>
      </w:r>
    </w:p>
    <w:p>
      <w:pPr>
        <w:pStyle w:val="Default"/>
        <w:rPr>
          <w:sz w:val="28"/>
          <w:szCs w:val="28"/>
        </w:rPr>
      </w:pPr>
      <w:r>
        <w:rPr>
          <w:sz w:val="28"/>
          <w:szCs w:val="28"/>
        </w:rPr>
      </w:r>
    </w:p>
    <w:p>
      <w:pPr>
        <w:pStyle w:val="Default"/>
        <w:rPr>
          <w:spacing w:val="2"/>
          <w:sz w:val="28"/>
          <w:szCs w:val="28"/>
        </w:rPr>
      </w:pPr>
      <w:r>
        <w:rPr>
          <w:spacing w:val="2"/>
          <w:sz w:val="28"/>
          <w:szCs w:val="28"/>
        </w:rPr>
        <w:t xml:space="preserve">                                                                                                                 </w:t>
      </w:r>
    </w:p>
    <w:p>
      <w:pPr>
        <w:pStyle w:val="Default"/>
        <w:jc w:val="right"/>
        <w:rPr>
          <w:sz w:val="28"/>
          <w:szCs w:val="28"/>
        </w:rPr>
      </w:pPr>
      <w:r>
        <w:rPr>
          <w:spacing w:val="2"/>
          <w:sz w:val="28"/>
          <w:szCs w:val="28"/>
        </w:rPr>
        <w:t xml:space="preserve">                                                                                           </w:t>
      </w:r>
      <w:r>
        <w:rPr>
          <w:spacing w:val="2"/>
          <w:sz w:val="28"/>
          <w:szCs w:val="28"/>
        </w:rPr>
        <w:t>Приложение 3</w:t>
      </w:r>
    </w:p>
    <w:p>
      <w:pPr>
        <w:pStyle w:val="Default"/>
        <w:jc w:val="right"/>
        <w:rPr>
          <w:sz w:val="28"/>
          <w:szCs w:val="28"/>
        </w:rPr>
      </w:pPr>
      <w:r>
        <w:rPr>
          <w:sz w:val="28"/>
          <w:szCs w:val="28"/>
        </w:rPr>
      </w:r>
    </w:p>
    <w:p>
      <w:pPr>
        <w:pStyle w:val="Default"/>
        <w:rPr>
          <w:sz w:val="28"/>
          <w:szCs w:val="28"/>
        </w:rPr>
      </w:pPr>
      <w:r>
        <w:rPr/>
        <w:t xml:space="preserve">                             </w:t>
      </w:r>
      <w:r>
        <w:rPr/>
        <w:drawing>
          <wp:inline distT="0" distB="0" distL="0" distR="0">
            <wp:extent cx="2835910" cy="4043680"/>
            <wp:effectExtent l="0" t="0" r="0" b="0"/>
            <wp:docPr id="5"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9" descr=""/>
                    <pic:cNvPicPr>
                      <a:picLocks noChangeAspect="1" noChangeArrowheads="1"/>
                    </pic:cNvPicPr>
                  </pic:nvPicPr>
                  <pic:blipFill>
                    <a:blip r:embed="rId10"/>
                    <a:stretch>
                      <a:fillRect/>
                    </a:stretch>
                  </pic:blipFill>
                  <pic:spPr bwMode="auto">
                    <a:xfrm>
                      <a:off x="0" y="0"/>
                      <a:ext cx="2835910" cy="4043680"/>
                    </a:xfrm>
                    <a:prstGeom prst="rect">
                      <a:avLst/>
                    </a:prstGeom>
                  </pic:spPr>
                </pic:pic>
              </a:graphicData>
            </a:graphic>
          </wp:inline>
        </w:drawing>
      </w:r>
    </w:p>
    <w:p>
      <w:pPr>
        <w:pStyle w:val="Default"/>
        <w:rPr>
          <w:sz w:val="28"/>
          <w:szCs w:val="28"/>
        </w:rPr>
      </w:pPr>
      <w:r>
        <w:rPr>
          <w:sz w:val="28"/>
          <w:szCs w:val="28"/>
        </w:rPr>
        <w:t xml:space="preserve">                       </w:t>
      </w:r>
      <w:r>
        <w:rPr>
          <w:sz w:val="28"/>
          <w:szCs w:val="28"/>
        </w:rPr>
        <w:t>Карта-схема расположения Участка №3</w:t>
      </w:r>
    </w:p>
    <w:p>
      <w:pPr>
        <w:pStyle w:val="Default"/>
        <w:rPr>
          <w:sz w:val="28"/>
          <w:szCs w:val="28"/>
        </w:rPr>
      </w:pPr>
      <w:r>
        <w:rPr>
          <w:sz w:val="28"/>
          <w:szCs w:val="28"/>
        </w:rPr>
      </w:r>
    </w:p>
    <w:p>
      <w:pPr>
        <w:pStyle w:val="Default"/>
        <w:rPr>
          <w:sz w:val="28"/>
          <w:szCs w:val="28"/>
        </w:rPr>
      </w:pPr>
      <w:r>
        <w:rPr>
          <w:sz w:val="28"/>
          <w:szCs w:val="28"/>
        </w:rPr>
      </w:r>
    </w:p>
    <w:p>
      <w:pPr>
        <w:pStyle w:val="Default"/>
        <w:rPr>
          <w:sz w:val="28"/>
          <w:szCs w:val="28"/>
        </w:rPr>
      </w:pPr>
      <w:r>
        <w:rPr/>
        <w:t xml:space="preserve">                </w:t>
      </w:r>
      <w:r>
        <w:rPr/>
        <w:drawing>
          <wp:inline distT="0" distB="0" distL="0" distR="0">
            <wp:extent cx="4509135" cy="3007995"/>
            <wp:effectExtent l="0" t="0" r="0" b="0"/>
            <wp:docPr id="6" name="Рисунок 7" descr="https://phototowns.ru/wp-content/uploads/2013/01/IMG_0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https://phototowns.ru/wp-content/uploads/2013/01/IMG_04361.jpg"/>
                    <pic:cNvPicPr>
                      <a:picLocks noChangeAspect="1" noChangeArrowheads="1"/>
                    </pic:cNvPicPr>
                  </pic:nvPicPr>
                  <pic:blipFill>
                    <a:blip r:embed="rId11"/>
                    <a:stretch>
                      <a:fillRect/>
                    </a:stretch>
                  </pic:blipFill>
                  <pic:spPr bwMode="auto">
                    <a:xfrm>
                      <a:off x="0" y="0"/>
                      <a:ext cx="4509135" cy="3007995"/>
                    </a:xfrm>
                    <a:prstGeom prst="rect">
                      <a:avLst/>
                    </a:prstGeom>
                  </pic:spPr>
                </pic:pic>
              </a:graphicData>
            </a:graphic>
          </wp:inline>
        </w:drawing>
      </w:r>
    </w:p>
    <w:p>
      <w:pPr>
        <w:pStyle w:val="Default"/>
        <w:rPr>
          <w:sz w:val="28"/>
          <w:szCs w:val="28"/>
        </w:rPr>
      </w:pPr>
      <w:r>
        <w:rPr>
          <w:sz w:val="28"/>
          <w:szCs w:val="28"/>
        </w:rPr>
        <w:t xml:space="preserve">                                               </w:t>
      </w:r>
      <w:r>
        <w:rPr>
          <w:sz w:val="28"/>
          <w:szCs w:val="28"/>
        </w:rPr>
        <w:t>Фото 3. Участок №3</w:t>
      </w:r>
    </w:p>
    <w:p>
      <w:pPr>
        <w:pStyle w:val="Default"/>
        <w:rPr>
          <w:spacing w:val="2"/>
          <w:sz w:val="28"/>
          <w:szCs w:val="28"/>
        </w:rPr>
      </w:pPr>
      <w:r>
        <w:rPr>
          <w:sz w:val="28"/>
          <w:szCs w:val="28"/>
        </w:rPr>
        <w:t xml:space="preserve">                                                                                                                               </w:t>
      </w:r>
      <w:r>
        <w:rPr>
          <w:spacing w:val="2"/>
          <w:sz w:val="28"/>
          <w:szCs w:val="28"/>
        </w:rPr>
        <w:t xml:space="preserve">                                           </w:t>
      </w:r>
    </w:p>
    <w:p>
      <w:pPr>
        <w:pStyle w:val="Default"/>
        <w:rPr>
          <w:sz w:val="28"/>
          <w:szCs w:val="28"/>
        </w:rPr>
      </w:pPr>
      <w:r>
        <w:rPr>
          <w:spacing w:val="2"/>
          <w:sz w:val="28"/>
          <w:szCs w:val="28"/>
        </w:rPr>
        <w:t xml:space="preserve">                                                                                                    </w:t>
      </w:r>
      <w:r>
        <w:br w:type="page"/>
      </w:r>
    </w:p>
    <w:p>
      <w:pPr>
        <w:pStyle w:val="Default"/>
        <w:jc w:val="right"/>
        <w:rPr>
          <w:sz w:val="28"/>
          <w:szCs w:val="28"/>
        </w:rPr>
      </w:pPr>
      <w:r>
        <w:rPr>
          <w:spacing w:val="2"/>
          <w:sz w:val="28"/>
          <w:szCs w:val="28"/>
        </w:rPr>
        <w:t xml:space="preserve">  </w:t>
      </w:r>
      <w:r>
        <w:rPr>
          <w:spacing w:val="2"/>
          <w:sz w:val="28"/>
          <w:szCs w:val="28"/>
        </w:rPr>
        <w:t>Приложение 4</w:t>
      </w:r>
    </w:p>
    <w:p>
      <w:pPr>
        <w:pStyle w:val="Default"/>
        <w:rPr>
          <w:sz w:val="28"/>
          <w:szCs w:val="28"/>
        </w:rPr>
      </w:pPr>
      <w:r>
        <w:rPr>
          <w:sz w:val="28"/>
          <w:szCs w:val="28"/>
        </w:rPr>
      </w:r>
    </w:p>
    <w:p>
      <w:pPr>
        <w:pStyle w:val="Default"/>
        <w:rPr>
          <w:sz w:val="28"/>
          <w:szCs w:val="28"/>
        </w:rPr>
      </w:pPr>
      <w:r>
        <w:rPr/>
        <w:drawing>
          <wp:inline distT="0" distB="0" distL="0" distR="0">
            <wp:extent cx="5358130" cy="4107815"/>
            <wp:effectExtent l="0" t="0" r="0" b="0"/>
            <wp:docPr id="7"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pic:cNvPicPr>
                      <a:picLocks noChangeAspect="1" noChangeArrowheads="1"/>
                    </pic:cNvPicPr>
                  </pic:nvPicPr>
                  <pic:blipFill>
                    <a:blip r:embed="rId12"/>
                    <a:srcRect l="0" t="0" r="1103" b="39764"/>
                    <a:stretch>
                      <a:fillRect/>
                    </a:stretch>
                  </pic:blipFill>
                  <pic:spPr bwMode="auto">
                    <a:xfrm>
                      <a:off x="0" y="0"/>
                      <a:ext cx="5358130" cy="4107815"/>
                    </a:xfrm>
                    <a:prstGeom prst="rect">
                      <a:avLst/>
                    </a:prstGeom>
                  </pic:spPr>
                </pic:pic>
              </a:graphicData>
            </a:graphic>
          </wp:inline>
        </w:drawing>
      </w:r>
    </w:p>
    <w:p>
      <w:pPr>
        <w:pStyle w:val="Default"/>
        <w:rPr>
          <w:sz w:val="28"/>
          <w:szCs w:val="28"/>
        </w:rPr>
      </w:pPr>
      <w:r>
        <w:rPr>
          <w:sz w:val="28"/>
          <w:szCs w:val="28"/>
        </w:rPr>
      </w:r>
    </w:p>
    <w:p>
      <w:pPr>
        <w:pStyle w:val="Default"/>
        <w:rPr>
          <w:sz w:val="28"/>
          <w:szCs w:val="28"/>
        </w:rPr>
      </w:pPr>
      <w:r>
        <w:rPr>
          <w:sz w:val="28"/>
          <w:szCs w:val="28"/>
        </w:rPr>
        <w:t xml:space="preserve">               </w:t>
      </w:r>
      <w:r>
        <w:rPr>
          <w:sz w:val="28"/>
          <w:szCs w:val="28"/>
        </w:rPr>
        <w:t>Фото 4. Эксперимент с проращиванием лука</w:t>
      </w:r>
    </w:p>
    <w:p>
      <w:pPr>
        <w:pStyle w:val="Default"/>
        <w:rPr>
          <w:sz w:val="28"/>
          <w:szCs w:val="28"/>
        </w:rPr>
      </w:pPr>
      <w:r>
        <w:rPr>
          <w:sz w:val="28"/>
          <w:szCs w:val="28"/>
        </w:rPr>
        <w:t>а — в начале эксперимента</w:t>
      </w:r>
    </w:p>
    <w:p>
      <w:pPr>
        <w:pStyle w:val="Default"/>
        <w:rPr>
          <w:sz w:val="28"/>
          <w:szCs w:val="28"/>
        </w:rPr>
      </w:pPr>
      <w:r>
        <w:rPr>
          <w:sz w:val="28"/>
          <w:szCs w:val="28"/>
        </w:rPr>
        <w:t>б — в конце эксперимента</w:t>
      </w:r>
    </w:p>
    <w:p>
      <w:pPr>
        <w:pStyle w:val="Default"/>
        <w:rPr>
          <w:sz w:val="28"/>
          <w:szCs w:val="28"/>
        </w:rPr>
      </w:pPr>
      <w:r>
        <w:rPr>
          <w:sz w:val="28"/>
          <w:szCs w:val="28"/>
        </w:rPr>
      </w:r>
    </w:p>
    <w:p>
      <w:pPr>
        <w:pStyle w:val="Default"/>
        <w:rPr>
          <w:sz w:val="28"/>
          <w:szCs w:val="28"/>
        </w:rPr>
      </w:pPr>
      <w:r>
        <w:rPr>
          <w:sz w:val="28"/>
          <w:szCs w:val="28"/>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t xml:space="preserve">                                                                                                                            </w:t>
      </w:r>
    </w:p>
    <w:p>
      <w:pPr>
        <w:pStyle w:val="Normal"/>
        <w:jc w:val="right"/>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t xml:space="preserve">                                                                                                 </w:t>
      </w:r>
      <w:r>
        <w:rPr>
          <w:rFonts w:eastAsia="Times New Roman" w:cs="Times New Roman" w:ascii="Times New Roman" w:hAnsi="Times New Roman"/>
          <w:color w:val="000000"/>
          <w:sz w:val="28"/>
          <w:szCs w:val="28"/>
          <w:lang w:eastAsia="ru-RU"/>
        </w:rPr>
        <w:t>Приложение 5</w:t>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rFonts w:cs="Times New Roman" w:ascii="Times New Roman" w:hAnsi="Times New Roman"/>
        </w:rPr>
        <w:t xml:space="preserve">                                       </w:t>
      </w:r>
      <w:r>
        <w:rPr/>
        <w:drawing>
          <wp:inline distT="0" distB="0" distL="0" distR="0">
            <wp:extent cx="3310255" cy="2484120"/>
            <wp:effectExtent l="0" t="0" r="0" b="0"/>
            <wp:docPr id="8" name="Изображение3" descr="https://sun9-57.userapi.com/impg/JLQKdxJkzcdptL6W3dcQvo7nBveayyYkYHLrdw/c9Gkh_JEQKw.jpg?size=1280x960&amp;quality=95&amp;sign=dcc34094b0d932789b65e5ed8c96a8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https://sun9-57.userapi.com/impg/JLQKdxJkzcdptL6W3dcQvo7nBveayyYkYHLrdw/c9Gkh_JEQKw.jpg?size=1280x960&amp;quality=95&amp;sign=dcc34094b0d932789b65e5ed8c96a87d&amp;type=album"/>
                    <pic:cNvPicPr>
                      <a:picLocks noChangeAspect="1" noChangeArrowheads="1"/>
                    </pic:cNvPicPr>
                  </pic:nvPicPr>
                  <pic:blipFill>
                    <a:blip r:embed="rId13"/>
                    <a:stretch>
                      <a:fillRect/>
                    </a:stretch>
                  </pic:blipFill>
                  <pic:spPr bwMode="auto">
                    <a:xfrm>
                      <a:off x="0" y="0"/>
                      <a:ext cx="3310255" cy="2484120"/>
                    </a:xfrm>
                    <a:prstGeom prst="rect">
                      <a:avLst/>
                    </a:prstGeom>
                  </pic:spPr>
                </pic:pic>
              </a:graphicData>
            </a:graphic>
          </wp:inline>
        </w:drawing>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Фото 5. Закладка опыта с проращиванием семян</w:t>
      </w:r>
    </w:p>
    <w:p>
      <w:pPr>
        <w:pStyle w:val="Normal"/>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jc w:val="both"/>
        <w:rPr>
          <w:rFonts w:ascii="Times New Roman" w:hAnsi="Times New Roman" w:eastAsia="Times New Roman" w:cs="Times New Roman"/>
          <w:b/>
          <w:b/>
          <w:bCs/>
          <w:color w:val="000000"/>
          <w:sz w:val="28"/>
          <w:szCs w:val="28"/>
          <w:lang w:eastAsia="ru-RU"/>
        </w:rPr>
      </w:pPr>
      <w:r>
        <w:rPr/>
        <w:drawing>
          <wp:inline distT="0" distB="0" distL="0" distR="0">
            <wp:extent cx="5940425" cy="4457065"/>
            <wp:effectExtent l="0" t="0" r="0" b="0"/>
            <wp:docPr id="9" name="Рисунок 13" descr="https://sun9-57.userapi.com/impg/3FeExbf_57wyC6-AQhHo2mk1_PXuKrNenUAoWA/e-RqcduYdwM.jpg?size=1280x960&amp;quality=95&amp;sign=6e8bc60b8b35f5aa9fa0cdc6950fee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3" descr="https://sun9-57.userapi.com/impg/3FeExbf_57wyC6-AQhHo2mk1_PXuKrNenUAoWA/e-RqcduYdwM.jpg?size=1280x960&amp;quality=95&amp;sign=6e8bc60b8b35f5aa9fa0cdc6950feeb6&amp;type=album"/>
                    <pic:cNvPicPr>
                      <a:picLocks noChangeAspect="1" noChangeArrowheads="1"/>
                    </pic:cNvPicPr>
                  </pic:nvPicPr>
                  <pic:blipFill>
                    <a:blip r:embed="rId14"/>
                    <a:stretch>
                      <a:fillRect/>
                    </a:stretch>
                  </pic:blipFill>
                  <pic:spPr bwMode="auto">
                    <a:xfrm>
                      <a:off x="0" y="0"/>
                      <a:ext cx="5940425" cy="4457065"/>
                    </a:xfrm>
                    <a:prstGeom prst="rect">
                      <a:avLst/>
                    </a:prstGeom>
                  </pic:spPr>
                </pic:pic>
              </a:graphicData>
            </a:graphic>
          </wp:inline>
        </w:drawing>
      </w:r>
    </w:p>
    <w:p>
      <w:pPr>
        <w:pStyle w:val="Normal"/>
        <w:jc w:val="both"/>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r>
    </w:p>
    <w:p>
      <w:pPr>
        <w:pStyle w:val="Normal"/>
        <w:jc w:val="both"/>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t xml:space="preserve">                         </w:t>
      </w:r>
      <w:r>
        <w:rPr>
          <w:rFonts w:eastAsia="Times New Roman" w:cs="Times New Roman" w:ascii="Times New Roman" w:hAnsi="Times New Roman"/>
          <w:bCs/>
          <w:color w:val="000000"/>
          <w:sz w:val="28"/>
          <w:szCs w:val="28"/>
          <w:lang w:eastAsia="ru-RU"/>
        </w:rPr>
        <w:t>Фото 6.   Результаты опыта с проращиванием семян</w:t>
      </w:r>
    </w:p>
    <w:p>
      <w:pPr>
        <w:pStyle w:val="Normal"/>
        <w:jc w:val="both"/>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r>
    </w:p>
    <w:p>
      <w:pPr>
        <w:pStyle w:val="Normal"/>
        <w:jc w:val="both"/>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r>
    </w:p>
    <w:p>
      <w:pPr>
        <w:pStyle w:val="Normal"/>
        <w:jc w:val="right"/>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t xml:space="preserve">                                                                                               </w:t>
      </w:r>
      <w:r>
        <w:rPr>
          <w:rFonts w:eastAsia="Times New Roman" w:cs="Times New Roman" w:ascii="Times New Roman" w:hAnsi="Times New Roman"/>
          <w:bCs/>
          <w:color w:val="000000"/>
          <w:sz w:val="28"/>
          <w:szCs w:val="28"/>
          <w:lang w:eastAsia="ru-RU"/>
        </w:rPr>
        <w:t>Приложение 6</w:t>
      </w:r>
    </w:p>
    <w:p>
      <w:pPr>
        <w:pStyle w:val="Normal"/>
        <w:jc w:val="right"/>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r>
    </w:p>
    <w:p>
      <w:pPr>
        <w:pStyle w:val="Normal"/>
        <w:jc w:val="center"/>
        <w:rPr>
          <w:rFonts w:ascii="Times New Roman" w:hAnsi="Times New Roman" w:cs="Times New Roman"/>
        </w:rPr>
      </w:pPr>
      <w:r>
        <w:rPr>
          <w:rFonts w:eastAsia="Times New Roman" w:cs="Times New Roman" w:ascii="Times New Roman" w:hAnsi="Times New Roman"/>
          <w:bCs/>
          <w:color w:val="000000"/>
          <w:sz w:val="28"/>
          <w:szCs w:val="28"/>
          <w:lang w:eastAsia="ru-RU"/>
        </w:rPr>
        <w:t xml:space="preserve">Таблица 1. Виды индикаторы загрязнений воды </w:t>
      </w:r>
    </w:p>
    <w:p>
      <w:pPr>
        <w:pStyle w:val="Normal"/>
        <w:jc w:val="center"/>
        <w:rPr>
          <w:rFonts w:ascii="Times New Roman" w:hAnsi="Times New Roman" w:cs="Times New Roman"/>
        </w:rPr>
      </w:pPr>
      <w:r>
        <w:rPr>
          <w:rFonts w:eastAsia="Times New Roman" w:cs="Times New Roman" w:ascii="Times New Roman" w:hAnsi="Times New Roman"/>
          <w:bCs/>
          <w:color w:val="000000"/>
          <w:sz w:val="28"/>
          <w:szCs w:val="28"/>
          <w:lang w:eastAsia="ru-RU"/>
        </w:rPr>
        <w:t>(по Г.С. Гигевичу, Б.П. Власову, Г.П. Вынаеву, 2001)</w:t>
      </w:r>
    </w:p>
    <w:p>
      <w:pPr>
        <w:pStyle w:val="Default"/>
        <w:rPr>
          <w:sz w:val="28"/>
          <w:szCs w:val="28"/>
        </w:rPr>
      </w:pPr>
      <w:r>
        <w:rPr>
          <w:sz w:val="28"/>
          <w:szCs w:val="28"/>
        </w:rPr>
      </w:r>
    </w:p>
    <w:tbl>
      <w:tblPr>
        <w:tblStyle w:val="af5"/>
        <w:tblW w:w="9563"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29"/>
        <w:gridCol w:w="2216"/>
        <w:gridCol w:w="1466"/>
        <w:gridCol w:w="1534"/>
        <w:gridCol w:w="1518"/>
      </w:tblGrid>
      <w:tr>
        <w:trPr/>
        <w:tc>
          <w:tcPr>
            <w:tcW w:w="2829" w:type="dxa"/>
            <w:vMerge w:val="restart"/>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Название вида</w:t>
            </w:r>
          </w:p>
        </w:tc>
        <w:tc>
          <w:tcPr>
            <w:tcW w:w="6734" w:type="dxa"/>
            <w:gridSpan w:val="4"/>
            <w:tcBorders/>
            <w:vAlign w:val="center"/>
          </w:tcPr>
          <w:p>
            <w:pPr>
              <w:pStyle w:val="Default"/>
              <w:widowControl/>
              <w:suppressAutoHyphens w:val="true"/>
              <w:spacing w:before="0" w:after="0"/>
              <w:jc w:val="center"/>
              <w:rPr>
                <w:sz w:val="28"/>
                <w:szCs w:val="28"/>
              </w:rPr>
            </w:pPr>
            <w:r>
              <w:rPr>
                <w:rFonts w:eastAsia="Times New Roman"/>
                <w:kern w:val="0"/>
                <w:sz w:val="28"/>
                <w:szCs w:val="28"/>
                <w:lang w:val="ru-RU" w:eastAsia="ru-RU" w:bidi="ar-SA"/>
              </w:rPr>
              <w:t>Индикаторы</w:t>
            </w:r>
          </w:p>
        </w:tc>
      </w:tr>
      <w:tr>
        <w:trPr/>
        <w:tc>
          <w:tcPr>
            <w:tcW w:w="2829" w:type="dxa"/>
            <w:vMerge w:val="continue"/>
            <w:tcBorders/>
          </w:tcPr>
          <w:p>
            <w:pPr>
              <w:pStyle w:val="Default"/>
              <w:widowControl/>
              <w:suppressAutoHyphens w:val="true"/>
              <w:spacing w:before="0" w:after="0"/>
              <w:jc w:val="center"/>
              <w:rPr>
                <w:sz w:val="28"/>
                <w:szCs w:val="28"/>
              </w:rPr>
            </w:pPr>
            <w:r>
              <w:rPr>
                <w:kern w:val="0"/>
                <w:sz w:val="28"/>
                <w:szCs w:val="28"/>
                <w:lang w:val="ru-RU" w:eastAsia="en-US" w:bidi="ar-SA"/>
              </w:rPr>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Органическое загрязнение</w:t>
            </w:r>
          </w:p>
        </w:tc>
        <w:tc>
          <w:tcPr>
            <w:tcW w:w="1466" w:type="dxa"/>
            <w:tcBorders/>
            <w:vAlign w:val="center"/>
          </w:tcPr>
          <w:p>
            <w:pPr>
              <w:pStyle w:val="Normal"/>
              <w:widowControl/>
              <w:suppressAutoHyphens w:val="true"/>
              <w:spacing w:before="0" w:after="0"/>
              <w:ind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Ацидо-фикация</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Эвтро-фикация</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Тяж. металлы</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Аир обыкновенный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rPr>
            </w:pPr>
            <w:r>
              <w:rPr>
                <w:rFonts w:eastAsia="Times New Roman" w:cs="Times New Roman" w:ascii="Times New Roman" w:hAnsi="Times New Roman"/>
                <w:color w:val="000000"/>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Водокрас лягушачий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Водяной мох</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Камыш озерный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Кубышка малая</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Лобелия Дортмана</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Манник плавающий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Манник большой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Многокоренник обыкновенный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Полушник озерный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Прибрежница одноцветковая</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Рдест курчавый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Рдест блестящий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Рдест плавающий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Рдест узловатый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Рдест пронзеннолистный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Рдест длиннейший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Рогоз широколистный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Роголистник темно-зеленый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Роголистник подводный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rHeight w:val="381" w:hRule="atLeast"/>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Ряска горбатая</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Ряска малая</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Ситняг игольчатый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Ситняг болотный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Телорез алоэвидный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Трехдольница трехбороздчатая</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Уруть колосистая</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Харовые водоросли</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Хвощ речной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Частуха подорожниковая</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Шелковник жестколистный</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Штукения гребенчатая</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r>
        <w:trPr/>
        <w:tc>
          <w:tcPr>
            <w:tcW w:w="2829" w:type="dxa"/>
            <w:tcBorders/>
            <w:vAlign w:val="center"/>
          </w:tcPr>
          <w:p>
            <w:pPr>
              <w:pStyle w:val="Normal"/>
              <w:widowControl/>
              <w:suppressAutoHyphens w:val="true"/>
              <w:spacing w:before="0" w:after="0"/>
              <w:ind w:right="120" w:hanging="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Элодея канадская</w:t>
            </w:r>
          </w:p>
        </w:tc>
        <w:tc>
          <w:tcPr>
            <w:tcW w:w="2216"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c>
          <w:tcPr>
            <w:tcW w:w="1466"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34" w:type="dxa"/>
            <w:tcBorders/>
            <w:vAlign w:val="center"/>
          </w:tcPr>
          <w:p>
            <w:pPr>
              <w:pStyle w:val="Normal"/>
              <w:widowControl/>
              <w:suppressAutoHyphens w:val="true"/>
              <w:spacing w:before="0" w:after="0"/>
              <w:ind w:left="120" w:right="120"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r>
          </w:p>
        </w:tc>
        <w:tc>
          <w:tcPr>
            <w:tcW w:w="1518" w:type="dxa"/>
            <w:tcBorders/>
            <w:vAlign w:val="center"/>
          </w:tcPr>
          <w:p>
            <w:pPr>
              <w:pStyle w:val="Normal"/>
              <w:widowControl/>
              <w:suppressAutoHyphens w:val="true"/>
              <w:spacing w:before="0" w:after="0"/>
              <w:ind w:left="120" w:right="120" w:hanging="0"/>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kern w:val="0"/>
                <w:sz w:val="28"/>
                <w:szCs w:val="28"/>
                <w:lang w:val="ru-RU" w:eastAsia="ru-RU" w:bidi="ar-SA"/>
              </w:rPr>
              <w:t>+</w:t>
            </w:r>
          </w:p>
        </w:tc>
      </w:tr>
    </w:tbl>
    <w:p>
      <w:pPr>
        <w:pStyle w:val="Default"/>
        <w:rPr>
          <w:sz w:val="28"/>
          <w:szCs w:val="28"/>
        </w:rPr>
      </w:pPr>
      <w:r>
        <w:rPr>
          <w:sz w:val="28"/>
          <w:szCs w:val="28"/>
        </w:rPr>
      </w:r>
    </w:p>
    <w:p>
      <w:pPr>
        <w:pStyle w:val="Default"/>
        <w:rPr>
          <w:sz w:val="28"/>
          <w:szCs w:val="28"/>
        </w:rPr>
      </w:pPr>
      <w:r>
        <w:rPr>
          <w:sz w:val="28"/>
          <w:szCs w:val="28"/>
        </w:rPr>
      </w:r>
      <w:r>
        <w:br w:type="page"/>
      </w:r>
    </w:p>
    <w:p>
      <w:pPr>
        <w:pStyle w:val="Default"/>
        <w:jc w:val="right"/>
        <w:rPr>
          <w:sz w:val="28"/>
          <w:szCs w:val="28"/>
        </w:rPr>
      </w:pPr>
      <w:r>
        <w:rPr>
          <w:sz w:val="28"/>
          <w:szCs w:val="28"/>
        </w:rPr>
        <w:t xml:space="preserve">                                                                                                 </w:t>
      </w:r>
      <w:r>
        <w:rPr>
          <w:sz w:val="28"/>
          <w:szCs w:val="28"/>
        </w:rPr>
        <w:t>Приложение 7</w:t>
      </w:r>
    </w:p>
    <w:p>
      <w:pPr>
        <w:pStyle w:val="Default"/>
        <w:jc w:val="right"/>
        <w:rPr>
          <w:sz w:val="28"/>
          <w:szCs w:val="28"/>
        </w:rPr>
      </w:pPr>
      <w:r>
        <w:rPr>
          <w:sz w:val="28"/>
          <w:szCs w:val="28"/>
        </w:rPr>
      </w:r>
    </w:p>
    <w:p>
      <w:pPr>
        <w:pStyle w:val="Default"/>
        <w:rPr>
          <w:sz w:val="28"/>
          <w:szCs w:val="28"/>
        </w:rPr>
      </w:pPr>
      <w:r>
        <w:rPr/>
        <w:drawing>
          <wp:inline distT="0" distB="0" distL="0" distR="0">
            <wp:extent cx="5940425" cy="3086100"/>
            <wp:effectExtent l="0" t="0" r="0" b="0"/>
            <wp:docPr id="10"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6" descr=""/>
                    <pic:cNvPicPr>
                      <a:picLocks noChangeAspect="1" noChangeArrowheads="1"/>
                    </pic:cNvPicPr>
                  </pic:nvPicPr>
                  <pic:blipFill>
                    <a:blip r:embed="rId15"/>
                    <a:stretch>
                      <a:fillRect/>
                    </a:stretch>
                  </pic:blipFill>
                  <pic:spPr bwMode="auto">
                    <a:xfrm>
                      <a:off x="0" y="0"/>
                      <a:ext cx="5940425" cy="3086100"/>
                    </a:xfrm>
                    <a:prstGeom prst="rect">
                      <a:avLst/>
                    </a:prstGeom>
                  </pic:spPr>
                </pic:pic>
              </a:graphicData>
            </a:graphic>
          </wp:inline>
        </w:drawing>
      </w:r>
    </w:p>
    <w:p>
      <w:pPr>
        <w:pStyle w:val="Default"/>
        <w:rPr>
          <w:sz w:val="28"/>
          <w:szCs w:val="28"/>
        </w:rPr>
      </w:pPr>
      <w:r>
        <w:rPr>
          <w:sz w:val="28"/>
          <w:szCs w:val="28"/>
        </w:rPr>
      </w:r>
    </w:p>
    <w:p>
      <w:pPr>
        <w:pStyle w:val="Default"/>
        <w:rPr>
          <w:sz w:val="28"/>
          <w:szCs w:val="28"/>
        </w:rPr>
      </w:pPr>
      <w:r>
        <w:rPr/>
        <w:drawing>
          <wp:inline distT="0" distB="0" distL="0" distR="0">
            <wp:extent cx="5940425" cy="3105785"/>
            <wp:effectExtent l="0" t="0" r="0" b="0"/>
            <wp:docPr id="11"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descr=""/>
                    <pic:cNvPicPr>
                      <a:picLocks noChangeAspect="1" noChangeArrowheads="1"/>
                    </pic:cNvPicPr>
                  </pic:nvPicPr>
                  <pic:blipFill>
                    <a:blip r:embed="rId16"/>
                    <a:stretch>
                      <a:fillRect/>
                    </a:stretch>
                  </pic:blipFill>
                  <pic:spPr bwMode="auto">
                    <a:xfrm>
                      <a:off x="0" y="0"/>
                      <a:ext cx="5940425" cy="310578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516" w:leader="none"/>
        </w:tabs>
        <w:jc w:val="center"/>
        <w:rPr>
          <w:rFonts w:ascii="Times New Roman" w:hAnsi="Times New Roman" w:cs="Times New Roman"/>
          <w:sz w:val="28"/>
          <w:szCs w:val="28"/>
        </w:rPr>
      </w:pPr>
      <w:r>
        <w:rPr>
          <w:rFonts w:cs="Times New Roman" w:ascii="Times New Roman" w:hAnsi="Times New Roman"/>
          <w:sz w:val="28"/>
          <w:szCs w:val="28"/>
        </w:rPr>
        <w:tab/>
        <w:t>Фото 7. Сайт Всероссийской акции «Вода России»</w:t>
      </w:r>
    </w:p>
    <w:sectPr>
      <w:headerReference w:type="default" r:id="rId17"/>
      <w:footerReference w:type="default" r:id="rId18"/>
      <w:footerReference w:type="first" r:id="rId19"/>
      <w:type w:val="nextPage"/>
      <w:pgSz w:w="11906" w:h="16838"/>
      <w:pgMar w:left="1418" w:right="1134" w:gutter="0" w:header="708" w:top="1134" w:footer="1418" w:bottom="1970"/>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fldChar w:fldCharType="begin"/>
    </w:r>
    <w:r>
      <w:rPr/>
      <w:instrText> PAGE </w:instrText>
    </w:r>
    <w:r>
      <w:rPr/>
      <w:fldChar w:fldCharType="separate"/>
    </w:r>
    <w:r>
      <w:rPr/>
      <w:t>23</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15899386"/>
    </w:sdtPr>
    <w:sdtContent>
      <w:p>
        <w:pPr>
          <w:pStyle w:val="Style24"/>
          <w:jc w:val="right"/>
          <w:rPr/>
        </w:pPr>
        <w:r>
          <w:rPr/>
        </w:r>
      </w:p>
    </w:sdtContent>
  </w:sdt>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41545"/>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0"/>
    <w:uiPriority w:val="9"/>
    <w:qFormat/>
    <w:rsid w:val="00b2075d"/>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3">
    <w:name w:val="Heading 3"/>
    <w:basedOn w:val="Normal"/>
    <w:link w:val="30"/>
    <w:uiPriority w:val="9"/>
    <w:qFormat/>
    <w:rsid w:val="00a12ff8"/>
    <w:pPr>
      <w:spacing w:beforeAutospacing="1" w:afterAutospacing="1"/>
      <w:outlineLvl w:val="2"/>
    </w:pPr>
    <w:rPr>
      <w:rFonts w:ascii="Times New Roman" w:hAnsi="Times New Roman" w:eastAsia="Times New Roman" w:cs="Times New Roman"/>
      <w:b/>
      <w:bCs/>
      <w:sz w:val="27"/>
      <w:szCs w:val="27"/>
      <w:lang w:eastAsia="ru-RU"/>
    </w:rPr>
  </w:style>
  <w:style w:type="paragraph" w:styleId="4">
    <w:name w:val="Heading 4"/>
    <w:basedOn w:val="Normal"/>
    <w:link w:val="40"/>
    <w:uiPriority w:val="9"/>
    <w:qFormat/>
    <w:rsid w:val="00a12ff8"/>
    <w:pPr>
      <w:spacing w:beforeAutospacing="1" w:afterAutospacing="1"/>
      <w:outlineLvl w:val="3"/>
    </w:pPr>
    <w:rPr>
      <w:rFonts w:ascii="Times New Roman" w:hAnsi="Times New Roman" w:eastAsia="Times New Roman" w:cs="Times New Roman"/>
      <w:b/>
      <w:bCs/>
      <w:sz w:val="24"/>
      <w:szCs w:val="24"/>
      <w:lang w:eastAsia="ru-RU"/>
    </w:rPr>
  </w:style>
  <w:style w:type="character" w:styleId="DefaultParagraphFont" w:default="1">
    <w:name w:val="Default Paragraph Font"/>
    <w:uiPriority w:val="1"/>
    <w:semiHidden/>
    <w:unhideWhenUsed/>
    <w:qFormat/>
    <w:rPr/>
  </w:style>
  <w:style w:type="character" w:styleId="Style11" w:customStyle="1">
    <w:name w:val="Текст выноски Знак"/>
    <w:basedOn w:val="DefaultParagraphFont"/>
    <w:uiPriority w:val="99"/>
    <w:semiHidden/>
    <w:qFormat/>
    <w:rsid w:val="003d1490"/>
    <w:rPr>
      <w:rFonts w:ascii="Tahoma" w:hAnsi="Tahoma" w:cs="Tahoma"/>
      <w:sz w:val="16"/>
      <w:szCs w:val="16"/>
    </w:rPr>
  </w:style>
  <w:style w:type="character" w:styleId="W" w:customStyle="1">
    <w:name w:val="w"/>
    <w:basedOn w:val="DefaultParagraphFont"/>
    <w:qFormat/>
    <w:rsid w:val="00545150"/>
    <w:rPr/>
  </w:style>
  <w:style w:type="character" w:styleId="Style12" w:customStyle="1">
    <w:name w:val="Интернет-ссылка"/>
    <w:basedOn w:val="DefaultParagraphFont"/>
    <w:uiPriority w:val="99"/>
    <w:unhideWhenUsed/>
    <w:rsid w:val="00545150"/>
    <w:rPr>
      <w:color w:val="0000FF"/>
      <w:u w:val="single"/>
    </w:rPr>
  </w:style>
  <w:style w:type="character" w:styleId="Style13" w:customStyle="1">
    <w:name w:val="Верхний колонтитул Знак"/>
    <w:basedOn w:val="DefaultParagraphFont"/>
    <w:uiPriority w:val="99"/>
    <w:qFormat/>
    <w:rsid w:val="00020bdc"/>
    <w:rPr/>
  </w:style>
  <w:style w:type="character" w:styleId="Style14" w:customStyle="1">
    <w:name w:val="Нижний колонтитул Знак"/>
    <w:basedOn w:val="DefaultParagraphFont"/>
    <w:uiPriority w:val="99"/>
    <w:qFormat/>
    <w:rsid w:val="00020bdc"/>
    <w:rPr/>
  </w:style>
  <w:style w:type="character" w:styleId="Strong">
    <w:name w:val="Strong"/>
    <w:basedOn w:val="DefaultParagraphFont"/>
    <w:uiPriority w:val="22"/>
    <w:qFormat/>
    <w:rsid w:val="00a95407"/>
    <w:rPr>
      <w:b/>
      <w:bCs/>
    </w:rPr>
  </w:style>
  <w:style w:type="character" w:styleId="31" w:customStyle="1">
    <w:name w:val="Заголовок 3 Знак"/>
    <w:basedOn w:val="DefaultParagraphFont"/>
    <w:link w:val="3"/>
    <w:uiPriority w:val="9"/>
    <w:qFormat/>
    <w:rsid w:val="00a12ff8"/>
    <w:rPr>
      <w:rFonts w:ascii="Times New Roman" w:hAnsi="Times New Roman" w:eastAsia="Times New Roman" w:cs="Times New Roman"/>
      <w:b/>
      <w:bCs/>
      <w:sz w:val="27"/>
      <w:szCs w:val="27"/>
      <w:lang w:eastAsia="ru-RU"/>
    </w:rPr>
  </w:style>
  <w:style w:type="character" w:styleId="41" w:customStyle="1">
    <w:name w:val="Заголовок 4 Знак"/>
    <w:basedOn w:val="DefaultParagraphFont"/>
    <w:link w:val="4"/>
    <w:uiPriority w:val="9"/>
    <w:qFormat/>
    <w:rsid w:val="00a12ff8"/>
    <w:rPr>
      <w:rFonts w:ascii="Times New Roman" w:hAnsi="Times New Roman" w:eastAsia="Times New Roman" w:cs="Times New Roman"/>
      <w:b/>
      <w:bCs/>
      <w:sz w:val="24"/>
      <w:szCs w:val="24"/>
      <w:lang w:eastAsia="ru-RU"/>
    </w:rPr>
  </w:style>
  <w:style w:type="character" w:styleId="11" w:customStyle="1">
    <w:name w:val="Заголовок 1 Знак"/>
    <w:basedOn w:val="DefaultParagraphFont"/>
    <w:link w:val="1"/>
    <w:uiPriority w:val="9"/>
    <w:qFormat/>
    <w:rsid w:val="00b2075d"/>
    <w:rPr>
      <w:rFonts w:ascii="Cambria" w:hAnsi="Cambria" w:eastAsia="" w:cs="" w:asciiTheme="majorHAnsi" w:cstheme="majorBidi" w:eastAsiaTheme="majorEastAsia" w:hAnsiTheme="majorHAnsi"/>
      <w:b/>
      <w:bCs/>
      <w:color w:val="365F91" w:themeColor="accent1" w:themeShade="bf"/>
      <w:sz w:val="28"/>
      <w:szCs w:val="28"/>
    </w:rPr>
  </w:style>
  <w:style w:type="character" w:styleId="Help" w:customStyle="1">
    <w:name w:val="help"/>
    <w:basedOn w:val="DefaultParagraphFont"/>
    <w:qFormat/>
    <w:rsid w:val="00ba4973"/>
    <w:rPr/>
  </w:style>
  <w:style w:type="character" w:styleId="Style15" w:customStyle="1">
    <w:name w:val="Посещённая гиперссылка"/>
    <w:basedOn w:val="DefaultParagraphFont"/>
    <w:uiPriority w:val="99"/>
    <w:semiHidden/>
    <w:unhideWhenUsed/>
    <w:rsid w:val="001c2706"/>
    <w:rPr>
      <w:color w:val="800080" w:themeColor="followedHyperlink"/>
      <w:u w:val="single"/>
    </w:rPr>
  </w:style>
  <w:style w:type="character" w:styleId="Style16" w:customStyle="1">
    <w:name w:val="Выделение жирным"/>
    <w:qFormat/>
    <w:rPr>
      <w:b/>
      <w:bCs/>
    </w:rPr>
  </w:style>
  <w:style w:type="paragraph" w:styleId="Style17">
    <w:name w:val="Заголовок"/>
    <w:basedOn w:val="Normal"/>
    <w:next w:val="Style18"/>
    <w:qFormat/>
    <w:pPr>
      <w:keepNext w:val="true"/>
      <w:spacing w:before="240" w:after="120"/>
    </w:pPr>
    <w:rPr>
      <w:rFonts w:ascii="Liberation Sans" w:hAnsi="Liberation Sans" w:eastAsia="Tahoma" w:cs="Noto Sans Devanagari"/>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Noto Sans Devanagari"/>
    </w:rPr>
  </w:style>
  <w:style w:type="paragraph" w:styleId="Style20">
    <w:name w:val="Caption"/>
    <w:basedOn w:val="Normal"/>
    <w:qFormat/>
    <w:pPr>
      <w:suppressLineNumbers/>
      <w:spacing w:before="120" w:after="120"/>
    </w:pPr>
    <w:rPr>
      <w:rFonts w:cs="Noto Sans Devanagari"/>
      <w:i/>
      <w:iCs/>
      <w:sz w:val="24"/>
      <w:szCs w:val="24"/>
    </w:rPr>
  </w:style>
  <w:style w:type="paragraph" w:styleId="Style21">
    <w:name w:val="Указатель"/>
    <w:basedOn w:val="Normal"/>
    <w:qFormat/>
    <w:pPr>
      <w:suppressLineNumbers/>
    </w:pPr>
    <w:rPr>
      <w:rFonts w:cs="Noto Sans Devanagari"/>
      <w:lang w:val="zxx" w:eastAsia="zxx" w:bidi="zxx"/>
    </w:rPr>
  </w:style>
  <w:style w:type="paragraph" w:styleId="Style22">
    <w:name w:val="Title"/>
    <w:basedOn w:val="Normal"/>
    <w:next w:val="Style18"/>
    <w:qFormat/>
    <w:pPr>
      <w:keepNext w:val="true"/>
      <w:spacing w:before="240" w:after="120"/>
    </w:pPr>
    <w:rPr>
      <w:rFonts w:ascii="Liberation Sans" w:hAnsi="Liberation Sans" w:eastAsia="Tahoma" w:cs="Noto Sans Devanagari"/>
      <w:sz w:val="28"/>
      <w:szCs w:val="28"/>
    </w:rPr>
  </w:style>
  <w:style w:type="paragraph" w:styleId="Caption">
    <w:name w:val="caption"/>
    <w:basedOn w:val="Normal"/>
    <w:qFormat/>
    <w:pPr>
      <w:suppressLineNumbers/>
      <w:spacing w:before="120" w:after="120"/>
    </w:pPr>
    <w:rPr>
      <w:rFonts w:cs="Noto Sans Devanagari"/>
      <w:i/>
      <w:iCs/>
      <w:sz w:val="24"/>
      <w:szCs w:val="24"/>
    </w:rPr>
  </w:style>
  <w:style w:type="paragraph" w:styleId="Indexheading">
    <w:name w:val="index heading"/>
    <w:basedOn w:val="Normal"/>
    <w:qFormat/>
    <w:pPr>
      <w:suppressLineNumbers/>
    </w:pPr>
    <w:rPr>
      <w:rFonts w:cs="Noto Sans Devanagari"/>
    </w:rPr>
  </w:style>
  <w:style w:type="paragraph" w:styleId="BalloonText">
    <w:name w:val="Balloon Text"/>
    <w:basedOn w:val="Normal"/>
    <w:uiPriority w:val="99"/>
    <w:semiHidden/>
    <w:unhideWhenUsed/>
    <w:qFormat/>
    <w:rsid w:val="003d1490"/>
    <w:pPr/>
    <w:rPr>
      <w:rFonts w:ascii="Tahoma" w:hAnsi="Tahoma" w:cs="Tahoma"/>
      <w:sz w:val="16"/>
      <w:szCs w:val="16"/>
    </w:rPr>
  </w:style>
  <w:style w:type="paragraph" w:styleId="Default" w:customStyle="1">
    <w:name w:val="Default"/>
    <w:qFormat/>
    <w:rsid w:val="007348fd"/>
    <w:pPr>
      <w:widowControl/>
      <w:suppressAutoHyphens w:val="true"/>
      <w:bidi w:val="0"/>
      <w:spacing w:before="0" w:after="0"/>
      <w:jc w:val="left"/>
    </w:pPr>
    <w:rPr>
      <w:rFonts w:ascii="Times New Roman" w:hAnsi="Times New Roman" w:eastAsia="Calibri" w:cs="Times New Roman"/>
      <w:color w:val="000000"/>
      <w:kern w:val="0"/>
      <w:sz w:val="24"/>
      <w:szCs w:val="24"/>
      <w:lang w:val="ru-RU" w:eastAsia="en-US" w:bidi="ar-SA"/>
    </w:rPr>
  </w:style>
  <w:style w:type="paragraph" w:styleId="NormalWeb">
    <w:name w:val="Normal (Web)"/>
    <w:basedOn w:val="Normal"/>
    <w:uiPriority w:val="99"/>
    <w:unhideWhenUsed/>
    <w:qFormat/>
    <w:rsid w:val="00545150"/>
    <w:pPr>
      <w:spacing w:beforeAutospacing="1" w:afterAutospacing="1"/>
    </w:pPr>
    <w:rPr>
      <w:rFonts w:ascii="Times New Roman" w:hAnsi="Times New Roman" w:eastAsia="Times New Roman" w:cs="Times New Roman"/>
      <w:sz w:val="24"/>
      <w:szCs w:val="24"/>
      <w:lang w:eastAsia="ru-RU"/>
    </w:rPr>
  </w:style>
  <w:style w:type="paragraph" w:styleId="Style23" w:customStyle="1">
    <w:name w:val="Колонтитул"/>
    <w:basedOn w:val="Normal"/>
    <w:qFormat/>
    <w:pPr/>
    <w:rPr/>
  </w:style>
  <w:style w:type="paragraph" w:styleId="Style24">
    <w:name w:val="Header"/>
    <w:basedOn w:val="Normal"/>
    <w:uiPriority w:val="99"/>
    <w:unhideWhenUsed/>
    <w:rsid w:val="00020bdc"/>
    <w:pPr>
      <w:tabs>
        <w:tab w:val="clear" w:pos="708"/>
        <w:tab w:val="center" w:pos="4677" w:leader="none"/>
        <w:tab w:val="right" w:pos="9355" w:leader="none"/>
      </w:tabs>
    </w:pPr>
    <w:rPr/>
  </w:style>
  <w:style w:type="paragraph" w:styleId="Style25">
    <w:name w:val="Footer"/>
    <w:basedOn w:val="Normal"/>
    <w:uiPriority w:val="99"/>
    <w:unhideWhenUsed/>
    <w:rsid w:val="00020bdc"/>
    <w:pPr>
      <w:tabs>
        <w:tab w:val="clear" w:pos="708"/>
        <w:tab w:val="center" w:pos="4677" w:leader="none"/>
        <w:tab w:val="right" w:pos="9355" w:leader="none"/>
      </w:tabs>
    </w:pPr>
    <w:rPr/>
  </w:style>
  <w:style w:type="paragraph" w:styleId="Style26" w:customStyle="1">
    <w:name w:val="Содержимое таблицы"/>
    <w:basedOn w:val="Normal"/>
    <w:qFormat/>
    <w:pPr>
      <w:widowControl w:val="false"/>
      <w:suppressLineNumbers/>
    </w:pPr>
    <w:rPr/>
  </w:style>
  <w:style w:type="paragraph" w:styleId="Style27" w:customStyle="1">
    <w:name w:val="Заголовок таблицы"/>
    <w:basedOn w:val="Style26"/>
    <w:qFormat/>
    <w:pPr>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5">
    <w:name w:val="Table Grid"/>
    <w:basedOn w:val="a1"/>
    <w:uiPriority w:val="59"/>
    <w:rsid w:val="00204e9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studfile.net/preview/1152635/page:7/" TargetMode="External"/><Relationship Id="rId3" Type="http://schemas.openxmlformats.org/officeDocument/2006/relationships/hyperlink" Target="https://elibrary.ru/contents.asp?id=33792274" TargetMode="External"/><Relationship Id="rId4" Type="http://schemas.openxmlformats.org/officeDocument/2006/relationships/hyperlink" Target="https://elibrary.ru/contents.asp?id=33792274&amp;selid=18272216" TargetMode="External"/><Relationship Id="rId5" Type="http://schemas.openxmlformats.org/officeDocument/2006/relationships/hyperlink" Target="https://ru.wikipedia.org/wiki/&#1053;&#1077;&#1074;&#1077;&#1083;&#1100;_(&#1086;&#1079;&#1077;&#1088;&#1086;)"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2024F6-A6C7-486A-8EEA-E9FA0F61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Application>LibreOffice/7.2.7.2$Linux_X86_64 LibreOffice_project/8d71d29d553c0f7dcbfa38fbfda25ee34cce99a2</Application>
  <AppVersion>15.0000</AppVersion>
  <Pages>23</Pages>
  <Words>3028</Words>
  <Characters>19563</Characters>
  <CharactersWithSpaces>24512</CharactersWithSpaces>
  <Paragraphs>503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2024-01-14T08:16:00Z</dcterms:created>
  <dc:creator>ACER</dc:creator>
  <dc:description/>
  <dc:language>ru-RU</dc:language>
  <cp:lastModifiedBy/>
  <dcterms:modified xsi:type="dcterms:W3CDTF">2024-01-19T12:04:28Z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