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44E3" w:rsidRDefault="008D4EB0">
      <w:pPr>
        <w:jc w:val="center"/>
        <w:rPr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МБОУ ДОД ЦРТДиЮ</w:t>
      </w:r>
    </w:p>
    <w:p w:rsidR="00C37DD6" w:rsidRDefault="00C37DD6">
      <w:pPr>
        <w:pStyle w:val="LTUntertitel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Федеральное государственное бюджетное </w:t>
      </w:r>
    </w:p>
    <w:p w:rsidR="003A44E3" w:rsidRDefault="00C37DD6">
      <w:pPr>
        <w:pStyle w:val="LTUntertitel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образовательное учреждение высшего образования </w:t>
      </w:r>
    </w:p>
    <w:p w:rsidR="003A44E3" w:rsidRDefault="00C37DD6">
      <w:pPr>
        <w:pStyle w:val="LTUntertitel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МИРЭА — Российский технологический университет </w:t>
      </w:r>
    </w:p>
    <w:p w:rsidR="003A44E3" w:rsidRDefault="00C37DD6">
      <w:pPr>
        <w:pStyle w:val="LTUntertitel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Детский технопарк «Альтаир» РТУ МИРЭА</w:t>
      </w:r>
    </w:p>
    <w:p w:rsidR="003A44E3" w:rsidRDefault="003A44E3">
      <w:pPr>
        <w:pStyle w:val="LTUntertitel"/>
        <w:rPr>
          <w:b/>
          <w:bCs/>
        </w:rPr>
      </w:pPr>
    </w:p>
    <w:p w:rsidR="003A44E3" w:rsidRDefault="003A44E3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8D4EB0" w:rsidRDefault="008D4EB0">
      <w:pPr>
        <w:pStyle w:val="LTUntertitel"/>
        <w:jc w:val="right"/>
        <w:rPr>
          <w:rFonts w:ascii="Times New Roman" w:hAnsi="Times New Roman"/>
          <w:color w:val="000000"/>
          <w:sz w:val="32"/>
        </w:rPr>
      </w:pPr>
    </w:p>
    <w:p w:rsidR="00D72849" w:rsidRPr="00D72849" w:rsidRDefault="00D72849" w:rsidP="00D72849">
      <w:pPr>
        <w:pStyle w:val="LTUntertitel"/>
        <w:jc w:val="left"/>
        <w:rPr>
          <w:rFonts w:ascii="Times New Roman" w:hAnsi="Times New Roman"/>
          <w:bCs/>
          <w:color w:val="000000"/>
          <w:sz w:val="32"/>
          <w:szCs w:val="32"/>
        </w:rPr>
      </w:pPr>
      <w:r w:rsidRPr="00D72849">
        <w:rPr>
          <w:rFonts w:ascii="Times New Roman" w:hAnsi="Times New Roman"/>
          <w:bCs/>
          <w:color w:val="000000"/>
          <w:sz w:val="32"/>
          <w:szCs w:val="32"/>
        </w:rPr>
        <w:t>Тема: Определение генетически модифицированных организмов (ГМО) в продуктах питания с помощью полимеразной цепной реакции (ПЦР)</w:t>
      </w:r>
    </w:p>
    <w:p w:rsidR="003A44E3" w:rsidRPr="00D72849" w:rsidRDefault="003A44E3">
      <w:pPr>
        <w:pStyle w:val="LTUntertitel"/>
        <w:jc w:val="right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pStyle w:val="LTUntertitel"/>
        <w:jc w:val="right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pStyle w:val="LTUntertitel"/>
        <w:jc w:val="right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pStyle w:val="LTUntertitel"/>
        <w:rPr>
          <w:rFonts w:ascii="Times New Roman" w:hAnsi="Times New Roman"/>
          <w:color w:val="000000"/>
          <w:sz w:val="28"/>
          <w:szCs w:val="28"/>
        </w:rPr>
      </w:pPr>
    </w:p>
    <w:p w:rsidR="003A44E3" w:rsidRDefault="00C37DD6">
      <w:pPr>
        <w:pStyle w:val="LTUntertitel"/>
        <w:rPr>
          <w:rFonts w:ascii="Times New Roman" w:hAnsi="Times New Roman"/>
          <w:color w:val="000000"/>
          <w:sz w:val="32"/>
        </w:rPr>
      </w:pPr>
      <w:r>
        <w:rPr>
          <w:rFonts w:ascii="Times New Roman" w:hAnsi="Times New Roman"/>
          <w:color w:val="000000"/>
          <w:sz w:val="32"/>
        </w:rPr>
        <w:t xml:space="preserve">                         </w:t>
      </w:r>
    </w:p>
    <w:p w:rsidR="003A44E3" w:rsidRDefault="003A44E3">
      <w:pPr>
        <w:pStyle w:val="LTUntertitel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pStyle w:val="LTUntertitel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pStyle w:val="LTUntertitel"/>
        <w:rPr>
          <w:rFonts w:ascii="Times New Roman" w:hAnsi="Times New Roman"/>
          <w:color w:val="000000"/>
          <w:sz w:val="32"/>
        </w:rPr>
      </w:pPr>
    </w:p>
    <w:p w:rsidR="003A44E3" w:rsidRDefault="00C37DD6">
      <w:pPr>
        <w:pStyle w:val="LTUntertitel"/>
        <w:jc w:val="right"/>
      </w:pPr>
      <w:r>
        <w:rPr>
          <w:rFonts w:ascii="Times New Roman" w:hAnsi="Times New Roman"/>
          <w:color w:val="000000"/>
          <w:sz w:val="32"/>
        </w:rPr>
        <w:t xml:space="preserve">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Автор работы:</w:t>
      </w:r>
    </w:p>
    <w:p w:rsidR="003A44E3" w:rsidRDefault="00C37DD6">
      <w:pPr>
        <w:pStyle w:val="LTUntertitel"/>
        <w:jc w:val="right"/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Ученица </w:t>
      </w:r>
      <w:r w:rsidR="008D4EB0">
        <w:rPr>
          <w:rFonts w:ascii="Times New Roman" w:hAnsi="Times New Roman"/>
          <w:color w:val="000000"/>
          <w:sz w:val="28"/>
          <w:szCs w:val="28"/>
        </w:rPr>
        <w:t>10</w:t>
      </w:r>
      <w:r>
        <w:rPr>
          <w:rFonts w:ascii="Times New Roman" w:hAnsi="Times New Roman"/>
          <w:color w:val="000000"/>
          <w:sz w:val="28"/>
          <w:szCs w:val="28"/>
        </w:rPr>
        <w:t xml:space="preserve"> класса </w:t>
      </w:r>
      <w:r w:rsidR="008D4EB0">
        <w:rPr>
          <w:rFonts w:ascii="Times New Roman" w:hAnsi="Times New Roman"/>
          <w:color w:val="000000"/>
          <w:sz w:val="28"/>
          <w:szCs w:val="28"/>
        </w:rPr>
        <w:t>ЦРТиД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3A44E3" w:rsidRDefault="00C37DD6">
      <w:pPr>
        <w:pStyle w:val="LTUntertitel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Зорина Полина Евгеньевна</w:t>
      </w:r>
    </w:p>
    <w:p w:rsidR="003A44E3" w:rsidRDefault="00C37DD6">
      <w:pPr>
        <w:pStyle w:val="LTUntertitel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Научный руководитель: </w:t>
      </w:r>
    </w:p>
    <w:p w:rsidR="003A44E3" w:rsidRDefault="00C37DD6">
      <w:pPr>
        <w:pStyle w:val="LTUntertitel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Преподаватель Детского технопарка «Альтаир» РТУ МИРЭА</w:t>
      </w:r>
    </w:p>
    <w:p w:rsidR="003A44E3" w:rsidRDefault="00C37DD6">
      <w:pPr>
        <w:pStyle w:val="LTUntertitel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Васильева Дарья Владимировна</w:t>
      </w:r>
      <w:r w:rsidR="00D72849">
        <w:rPr>
          <w:rFonts w:ascii="Times New Roman" w:hAnsi="Times New Roman"/>
          <w:color w:val="000000"/>
          <w:sz w:val="28"/>
          <w:szCs w:val="28"/>
        </w:rPr>
        <w:t>,</w:t>
      </w:r>
    </w:p>
    <w:p w:rsidR="00D72849" w:rsidRDefault="00D72849">
      <w:pPr>
        <w:pStyle w:val="LTUntertitel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Педагог дополнительного образования Мохова Вера Николаевна</w:t>
      </w:r>
    </w:p>
    <w:p w:rsidR="003A44E3" w:rsidRDefault="003A44E3">
      <w:pPr>
        <w:pStyle w:val="LTUntertitel"/>
        <w:rPr>
          <w:rFonts w:ascii="Times New Roman" w:hAnsi="Times New Roman"/>
          <w:sz w:val="28"/>
          <w:szCs w:val="28"/>
        </w:rPr>
      </w:pPr>
    </w:p>
    <w:p w:rsidR="003A44E3" w:rsidRDefault="003A44E3">
      <w:pPr>
        <w:jc w:val="center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jc w:val="center"/>
        <w:rPr>
          <w:rFonts w:ascii="Times New Roman" w:hAnsi="Times New Roman"/>
          <w:color w:val="000000"/>
          <w:sz w:val="32"/>
        </w:rPr>
      </w:pPr>
    </w:p>
    <w:p w:rsidR="008D4EB0" w:rsidRDefault="008D4EB0">
      <w:pPr>
        <w:jc w:val="center"/>
        <w:rPr>
          <w:rFonts w:ascii="Times New Roman" w:hAnsi="Times New Roman"/>
          <w:color w:val="000000"/>
          <w:sz w:val="32"/>
        </w:rPr>
      </w:pPr>
    </w:p>
    <w:p w:rsidR="003A44E3" w:rsidRDefault="003A44E3">
      <w:pPr>
        <w:jc w:val="center"/>
        <w:rPr>
          <w:rFonts w:ascii="Times New Roman" w:hAnsi="Times New Roman"/>
          <w:color w:val="000000"/>
          <w:sz w:val="32"/>
        </w:rPr>
      </w:pPr>
    </w:p>
    <w:p w:rsidR="003A44E3" w:rsidRPr="005E3BA0" w:rsidRDefault="008D4EB0">
      <w:pPr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Красноармейск </w:t>
      </w:r>
      <w:r w:rsidR="00C37DD6" w:rsidRPr="005E3BA0">
        <w:rPr>
          <w:rFonts w:ascii="Times New Roman" w:hAnsi="Times New Roman"/>
          <w:bCs/>
          <w:color w:val="000000"/>
          <w:sz w:val="28"/>
          <w:szCs w:val="28"/>
        </w:rPr>
        <w:t>2023</w:t>
      </w:r>
    </w:p>
    <w:p w:rsidR="003A44E3" w:rsidRPr="00D72849" w:rsidRDefault="00C37DD6">
      <w:pPr>
        <w:pStyle w:val="TOAHeading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2895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ВВЕДЕНИЕ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  <w:t>3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2897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Э</w:t>
        </w:r>
      </w:hyperlink>
      <w:hyperlink w:anchor="__RefHeading___Toc12897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КСПЕРИМЕНТАЛЬНАЯ ЧАСТЬ</w:t>
        </w:r>
      </w:hyperlink>
      <w:hyperlink w:anchor="__RefHeading___Toc12897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  <w:t>5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3003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2.1 Объекты исследования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  <w:t>5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9963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2.2 Материалы и методы исследования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  <w:t>5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9965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2.</w:t>
        </w:r>
      </w:hyperlink>
      <w:hyperlink w:anchor="__RefHeading___Toc19965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 xml:space="preserve">3 </w:t>
        </w:r>
      </w:hyperlink>
      <w:hyperlink w:anchor="__RefHeading___Toc19965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Методика выполнения работы</w:t>
        </w:r>
      </w:hyperlink>
      <w:hyperlink w:anchor="__RefHeading___Toc19965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  <w:t>10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9967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ОБСУЖДЕНИЕ РЕЗУЛЬТАТОВ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</w:r>
        <w:r w:rsidR="00D72849">
          <w:rPr>
            <w:rFonts w:ascii="Times New Roman" w:hAnsi="Times New Roman" w:cs="Times New Roman"/>
            <w:sz w:val="28"/>
            <w:szCs w:val="28"/>
          </w:rPr>
          <w:t>19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9969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ВЫВОДЫ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</w:r>
        <w:r w:rsidR="00D72849">
          <w:rPr>
            <w:rFonts w:ascii="Times New Roman" w:hAnsi="Times New Roman" w:cs="Times New Roman"/>
            <w:sz w:val="28"/>
            <w:szCs w:val="28"/>
          </w:rPr>
          <w:t>20</w:t>
        </w:r>
      </w:hyperlink>
    </w:p>
    <w:p w:rsidR="003A44E3" w:rsidRPr="00D72849" w:rsidRDefault="006B6CA2">
      <w:pPr>
        <w:pStyle w:val="TOC3"/>
        <w:tabs>
          <w:tab w:val="clear" w:pos="9072"/>
          <w:tab w:val="right" w:leader="dot" w:pos="9638"/>
        </w:tabs>
        <w:rPr>
          <w:rFonts w:ascii="Times New Roman" w:hAnsi="Times New Roman" w:cs="Times New Roman"/>
        </w:rPr>
      </w:pPr>
      <w:hyperlink w:anchor="__RefHeading___Toc19971_945987040">
        <w:r w:rsidR="00C37DD6" w:rsidRPr="00D72849">
          <w:rPr>
            <w:rFonts w:ascii="Times New Roman" w:hAnsi="Times New Roman" w:cs="Times New Roman"/>
            <w:sz w:val="28"/>
            <w:szCs w:val="28"/>
          </w:rPr>
          <w:t>СПИСОК ЛИТЕРАТУРЫ</w:t>
        </w:r>
        <w:r w:rsidR="00C37DD6" w:rsidRPr="00D72849">
          <w:rPr>
            <w:rFonts w:ascii="Times New Roman" w:hAnsi="Times New Roman" w:cs="Times New Roman"/>
            <w:sz w:val="28"/>
            <w:szCs w:val="28"/>
          </w:rPr>
          <w:tab/>
        </w:r>
        <w:r w:rsidR="00D72849">
          <w:rPr>
            <w:rFonts w:ascii="Times New Roman" w:hAnsi="Times New Roman" w:cs="Times New Roman"/>
            <w:sz w:val="28"/>
            <w:szCs w:val="28"/>
          </w:rPr>
          <w:t>22</w:t>
        </w:r>
      </w:hyperlink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</w:rPr>
        <w:t>ВВЕДЕНИЕ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Генетически модифицированный организм (ГМО) – организм, генотип которого был искусственно изменен при помощи методов генной инженерии — науки, которая позволяет вводить в геном растения, животного, микроорганизма фрагмент ДНК из любого другого организма с целью придания ему определенных свойств. 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Я выбрала тему проекта: «Определение генетически модифицированных организмов (ГМО) в продуктах питания с помощью полимеразной цепной реакции (ПЦР)», потому что считаю, что в наше время она очень актуальна.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Актуальность: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Проблема ГМО бесспорно волнует не только ученых, но и простых обывателей. ГМО стали все чаще встречаться в нашей жизни, и желание подробнее узнать о достижениях современной науки в этой области естественно. Биотехнология, результатом которой является генные модификации, необходима для решения многих проблем, связанных с резким ростом населения на планете Земля. Без этих технологий производство многих продуктов было бы невозможно, успехи медицины были бы значительно скромнее.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Тренд здорового питания завоевывает популярность и расширяет круг потенциальных покупателей безопасных и натуральных продуктов питания. Для более полного информирования покупателей, была введена маркировка «Без ГМО».</w:t>
      </w:r>
      <w:r w:rsidRPr="00D72849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По статистике 66 % населения считает ГМО вредным и опасным для здоровья. Производители сельхоз продукции не видят выгоды в ГМО для себя. Им не хочется тратить деньги и время на исследование и внедрение технологий. Таким образом, у них есть целых 66 % населения, которых можно легко убедить в том, что от генетически модифицированных продуктов питания они будут мутировать и покупать стоит только сорта с маркировкой «Без ГМО», которые могут стоить в несколько раз дороже (Например, у той же самой соды нет генов, однако в магазине часто можно увидеть соду с маркировкой «Без ГМО», что является абсурдом, ведь у нее даже нечего модифицировать). 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Гипотеза: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М</w:t>
      </w:r>
      <w:r w:rsidRPr="00D72849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аркировка «Без ГМО» не гарантирует полного отсутствия в товаре измененных генов, она лишь информирует о том, что в составе пищевой продукции генетически модифицированных организмов менее 1%. 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Цель проекта: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получение сведений о наличии генно-модифицированных молекул ДНК в магазинных марках кукурузы методом ПЦР. 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Задачи проекта: 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1) Выделение молекулы ДНК из исследуемого объекта в лабораторных условиях;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2) Проведение ПЦР для визуальной детекции выделенных молекул ДНК на этапе электрофореза;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3) Регистрация результатов эксперимента, основанного на изучении исследуемого объекта на наличие генно-модифицированных молекул ДНК, посредством проведения электрофореза;</w:t>
      </w:r>
    </w:p>
    <w:p w:rsidR="003A44E3" w:rsidRPr="00D72849" w:rsidRDefault="00C37DD6">
      <w:pPr>
        <w:pStyle w:val="AlizarinLTGliederung1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4) Сравнение результатов, полученных в ходе исследования двух различных объектов одного и того же производителя, различных при этом по способу обработки и упаковки.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b/>
          <w:color w:val="000000"/>
          <w:sz w:val="28"/>
          <w:szCs w:val="28"/>
        </w:rPr>
        <w:tab/>
        <w:t>Новизна темы: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1) По данным экспертов, 70% импортных продуктов и около 30% отечественных – генетически модифицированные;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2)    Генетически модифицированные организмы — пища будущего.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Степень изученности данного вопроса: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Генная инженерия как отдельное направление биотехнологии зародилось в 1972 году, в связи с чем является развивающимся направлением.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333333"/>
          <w:sz w:val="28"/>
          <w:szCs w:val="28"/>
        </w:rPr>
        <w:tab/>
        <w:t xml:space="preserve">Личный вклад: 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ab/>
        <w:t>1) Изучение научной литературы по данной проблеме;</w:t>
      </w:r>
    </w:p>
    <w:p w:rsidR="003A44E3" w:rsidRPr="00D72849" w:rsidRDefault="00C37DD6">
      <w:pPr>
        <w:pStyle w:val="a4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ab/>
        <w:t>2) Самостоятельная постановка и проведение всех нижеуказанных опытов (Под наблюдением специалиста).</w:t>
      </w: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</w:rPr>
        <w:t>ЭКСПЕРИМЕНТАЛЬНАЯ ЧАСТЬ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Cs w:val="36"/>
        </w:rPr>
        <w:tab/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Работа выполнялась на базе Детского технопарка «Альтаир» (МИРЭА — Российский технологический университет) в кластере лабораторий «Биохимические и химические технологии», под руководством преподавателя технопарка Васильевой Дарьи Владимировны.</w:t>
      </w: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bookmarkStart w:id="0" w:name="__RefHeading___Toc13003_945987040"/>
      <w:bookmarkEnd w:id="0"/>
      <w:r w:rsidRPr="00D72849">
        <w:rPr>
          <w:rFonts w:ascii="Times New Roman" w:hAnsi="Times New Roman" w:cs="Times New Roman"/>
        </w:rPr>
        <w:t>2.1 Объекты исследования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1. К</w:t>
      </w:r>
      <w:r w:rsidRPr="00D72849">
        <w:rPr>
          <w:rFonts w:ascii="Times New Roman" w:hAnsi="Times New Roman" w:cs="Times New Roman"/>
          <w:sz w:val="28"/>
          <w:szCs w:val="28"/>
        </w:rPr>
        <w:t>онсервированная кукуруза Ашан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2. Кукуруза в зернах Ашан (замороженная)</w:t>
      </w: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bookmarkStart w:id="1" w:name="__RefHeading___Toc19963_945987040"/>
      <w:bookmarkEnd w:id="1"/>
      <w:r w:rsidRPr="00D72849">
        <w:rPr>
          <w:rFonts w:ascii="Times New Roman" w:hAnsi="Times New Roman" w:cs="Times New Roman"/>
        </w:rPr>
        <w:t>2.2 Материалы и методы исследования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  <w:t>Материалы исследованиях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  <w:t xml:space="preserve">Оборудование: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автоматические пипетки различного объема, аналитические весы, микропробирки различного объема, штативы для микропробирок, центрифуга/микроцентрифуга, вортекс, термостат твердотельный, амплификатор, мерная колба, цилиндр, СВЧ-печь, форма для заливки геля, гребенки, </w:t>
      </w:r>
      <w:r w:rsidRPr="00D72849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горизонтальная камера для электрофореза,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источник тока, УФ-трансиллюминатор.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  <w:t xml:space="preserve">Реактивы: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ГРС-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(с праймерами на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-терминатор), ГРС-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35 (с праймерами на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35-промотор), ГРС-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(с праймерами на зеин),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ДНК Полимераза, ПКО-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– положительный контрольный образец (содержит ДНК с 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-терминатором), ПКО-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35 – положительный контрольный образец (содержит ДНК с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35-промотором), ПКО-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– положительный контрольный образец (содержит ДНК с геном зеина), ОКО-отрицательный контрольный образец,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№1,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№2, дистиллированная вода, агароза, бромистый этидий, краска, маркер. 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  <w:t>Методы исследования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Cs/>
          <w:color w:val="212529"/>
          <w:sz w:val="28"/>
          <w:szCs w:val="28"/>
        </w:rPr>
        <w:t>ДНК – это макромолекула, которая хранит информацию о структуре различных белков, клеток и тканей в виде генетического кода и обеспечивает передачу этой информации из поколения в поколение.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bCs/>
          <w:color w:val="212529"/>
          <w:sz w:val="28"/>
          <w:szCs w:val="28"/>
        </w:rPr>
        <w:tab/>
      </w:r>
      <w:r w:rsidRPr="00D72849">
        <w:rPr>
          <w:rFonts w:ascii="Times New Roman" w:hAnsi="Times New Roman" w:cs="Times New Roman"/>
          <w:color w:val="212529"/>
          <w:sz w:val="28"/>
          <w:szCs w:val="28"/>
        </w:rPr>
        <w:t>Выделение ДНК из биологического материала — это первый этап любого молекулярно-генетического исследования</w:t>
      </w:r>
      <w:r w:rsidRPr="00D72849">
        <w:rPr>
          <w:rFonts w:ascii="Times New Roman" w:hAnsi="Times New Roman" w:cs="Times New Roman"/>
          <w:color w:val="212529"/>
          <w:sz w:val="17"/>
        </w:rPr>
        <w:t>.</w:t>
      </w:r>
      <w:r w:rsidRPr="00D72849">
        <w:rPr>
          <w:rFonts w:ascii="Times New Roman" w:hAnsi="Times New Roman" w:cs="Times New Roman"/>
          <w:color w:val="212529"/>
        </w:rPr>
        <w:t xml:space="preserve">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212529"/>
        </w:rPr>
        <w:tab/>
      </w:r>
      <w:r w:rsidRPr="00D72849">
        <w:rPr>
          <w:rFonts w:ascii="Times New Roman" w:hAnsi="Times New Roman" w:cs="Times New Roman"/>
          <w:color w:val="212529"/>
          <w:sz w:val="28"/>
          <w:szCs w:val="28"/>
        </w:rPr>
        <w:t xml:space="preserve">Для выделения ДНК используют различные методики в зависимости от поставленных задач. Их суть заключается в экстракции (извлечении) ДНК из биопрепарата и удалении или нейтрализации посторонних примесей для получения препарата ДНК с чистой, пригодной для постановки ПЦР. 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 Полимеразная цепная реакция (ПЦР, амплификация)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sz w:val="28"/>
          <w:szCs w:val="28"/>
        </w:rPr>
        <w:t>Полимеразная цепная реакция (ПЦР) — экспериментальный метод молекулярной биологии, способ значительного увеличения малых концентраций определённых фрагментов нуклеиновой кислоты (ДНК) в биологическом материале (пробе).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ab/>
        <w:t>В основе метода ПЦР лежит многократное удвоение определённого участка ДНК при помощи ферментов в искусственных условиях (in vitro). В результате нарабатываются количества ДНК, достаточные для визуальной детекции. При этом происходит копирование только того участка, который удовлетворяет заданным условиям, и только в том случае, если он присутствует в исследуемом образце.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Помимо простого увеличения числа копий ДНК, ПЦР позволяет производить множество других манипуляций с генетическим материалом (введение мутаций, сращивание фрагментов ДНК) и используется в биологической и медицинской практике (для диагностики заболеваний, для установления отцовства, для клонирования генов, выделения новых генов).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Изолированное умножение гена или его фрагмента называют амплификацией. Каждый цикл амплификации включает 3 этапа, протекающие при различных температурных режимах.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1 этап: денатурация ДНК.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Протекает при 93-95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°C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в течение 30-40 секунд.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2 этап: отжиг праймеров.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Присоединение праймеров происходит комплиментарно к соответствующим последовательностям на противоположных цепях ДНК на границах специфического участка, поэтому в реакционную смесь вносят два праймера. Для каждой пары праймеров существует своя температура отжига, значения которой располагаются в интервале от 50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°C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до 65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°C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. Время отжига 20-60 секунд.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 этап: элонгация (наращивание цепей ДНК).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Комплиментарное достраивание ДНК происходит от 5'-конца к 3'-концу цепи в противоположных  направлениях, начиная с участков присоединения праймеров, материалом для синтеза новых цепей ДНК служат добавляемые в раствор дезоксинуклеотидтрифосфаты. Процесс синтез катализируется ферментом 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ДНК полимеразой и проходит при температуре от 70 до 72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°C. Время протекания синтеза — от 20 до 40 секунд. </w:t>
      </w:r>
    </w:p>
    <w:p w:rsidR="003A44E3" w:rsidRPr="00D72849" w:rsidRDefault="00C37DD6">
      <w:pPr>
        <w:spacing w:line="360" w:lineRule="auto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ab/>
        <w:t xml:space="preserve">В Первом цикле двунитевые ДНК-мишени используются как матрицы с сайтами связывания прамеров, при этом ориентация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3'-концов каждого праймера навстречу друг другу. После первого цикла синтезируются две новые нити, на одних концах которых расположены праймеры, а на  других концы нити ДНК различной длины (рисунок 1).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911225</wp:posOffset>
            </wp:positionH>
            <wp:positionV relativeFrom="paragraph">
              <wp:posOffset>-10795</wp:posOffset>
            </wp:positionV>
            <wp:extent cx="4247515" cy="3011170"/>
            <wp:effectExtent l="0" t="0" r="0" b="0"/>
            <wp:wrapSquare wrapText="largest"/>
            <wp:docPr id="1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515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3A44E3" w:rsidRPr="00D72849" w:rsidRDefault="00C37DD6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Рисунок 1 — Параметры первого цикла амплификации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Во втором цикле каждая из четырех нитей ДНК взаимодействует с праймерами (которые присутствуют в избытке), чтобы инициировать новый раунд синтеза ДНК. Из восьми однонитевых продуктов две нити ограничены только праймерами по длине — это короткие последовательности или ампликоны, которые будут накапливаться экспоненциально в последующих циклах (рисунок 2). 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Амплификацию проводят по заданной программе в автоматическом режиме. Время проведения реакции в зависимости от заданной программы составит 1 — 1,5 часа. </w:t>
      </w: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noProof/>
          <w:lang w:eastAsia="ru-RU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posOffset>443865</wp:posOffset>
            </wp:positionH>
            <wp:positionV relativeFrom="paragraph">
              <wp:posOffset>90170</wp:posOffset>
            </wp:positionV>
            <wp:extent cx="5212715" cy="3324225"/>
            <wp:effectExtent l="0" t="0" r="0" b="0"/>
            <wp:wrapSquare wrapText="largest"/>
            <wp:docPr id="2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Рисунок 2 — Второй цикл амплификации 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 Электрофорез в агарозном геле</w:t>
      </w:r>
    </w:p>
    <w:p w:rsidR="003A44E3" w:rsidRPr="00D72849" w:rsidRDefault="00C37DD6">
      <w:pPr>
        <w:pStyle w:val="AlizarinLTGliederung1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>Электрофорез — м</w:t>
      </w:r>
      <w:r w:rsidRPr="00D72849">
        <w:rPr>
          <w:rFonts w:ascii="Times New Roman" w:hAnsi="Times New Roman" w:cs="Times New Roman"/>
          <w:sz w:val="28"/>
          <w:szCs w:val="28"/>
        </w:rPr>
        <w:t>етод разделения соединений смеси, основанный на движении заряженных молекул в однородном электрическом поле. Разделение соединений происходит в соответствии с их электрофоретической подвижностью. Электрофоретическая подвижность определяется размером и формой белка. Данный метод позволяет оценить количество амплифицированной ДНК и ее размер.</w:t>
      </w:r>
    </w:p>
    <w:p w:rsidR="003A44E3" w:rsidRPr="00D72849" w:rsidRDefault="00C37DD6" w:rsidP="00D72849">
      <w:pPr>
        <w:pStyle w:val="AlizarinLTGliederung1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ab/>
        <w:t>Сахарофосфатный остов молекул ДНК заряжен отрицательно, поэтому цепи ДНК будут передвигаться через специальный агарозный гель от отрицательного электрода (катода) в сторону положительного электрода (анода).</w:t>
      </w:r>
    </w:p>
    <w:p w:rsidR="003A44E3" w:rsidRPr="00D72849" w:rsidRDefault="00C37DD6" w:rsidP="00D72849">
      <w:pPr>
        <w:pStyle w:val="AlizarinLTGliederung1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ab/>
        <w:t>Более длинные молекулы ДНК проходят через гель медленнее, чем короткие молекулы ДНК, которые мигрируют быстрее.</w:t>
      </w:r>
    </w:p>
    <w:p w:rsidR="003A44E3" w:rsidRPr="00D72849" w:rsidRDefault="00C37DD6" w:rsidP="00D72849">
      <w:pPr>
        <w:pStyle w:val="AlizarinLTGliederung1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ab/>
        <w:t xml:space="preserve">В агарозном геле содержится специальный краситель (бромистый этидий), который при взаимодействии с молекулами ДНК интеркалирует между азотистыми основаниями и флюоресцирует в УФ-лучах. </w:t>
      </w:r>
    </w:p>
    <w:p w:rsidR="003A44E3" w:rsidRPr="00D72849" w:rsidRDefault="00C37DD6">
      <w:pPr>
        <w:pStyle w:val="AlizarinLTGliederung11"/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noProof/>
          <w:lang w:eastAsia="ru-RU"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87630</wp:posOffset>
            </wp:positionV>
            <wp:extent cx="6120130" cy="4584065"/>
            <wp:effectExtent l="0" t="0" r="0" b="0"/>
            <wp:wrapSquare wrapText="largest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84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Рисунок 3 — Процесс проведения электрофореза в агарозном геле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После окончания электрофореза, продолжающегося от 20 до 50 минут, гель помещают на фильтр трансиллюминатора, излучающего ультрафиолетовый свет, за счет чего можно получить электрофореграмму с результатами исследования. </w:t>
      </w: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bookmarkStart w:id="2" w:name="__RefHeading___Toc19965_945987040"/>
      <w:bookmarkEnd w:id="2"/>
      <w:r w:rsidRPr="00D72849">
        <w:rPr>
          <w:rFonts w:ascii="Times New Roman" w:hAnsi="Times New Roman" w:cs="Times New Roman"/>
          <w:color w:val="000000"/>
        </w:rPr>
        <w:t>2.</w:t>
      </w:r>
      <w:r w:rsidRPr="00D72849">
        <w:rPr>
          <w:rFonts w:ascii="Times New Roman" w:hAnsi="Times New Roman" w:cs="Times New Roman"/>
          <w:color w:val="000000"/>
          <w:lang w:val="en-US"/>
        </w:rPr>
        <w:t xml:space="preserve">3 </w:t>
      </w:r>
      <w:r w:rsidRPr="00D72849">
        <w:rPr>
          <w:rFonts w:ascii="Times New Roman" w:hAnsi="Times New Roman" w:cs="Times New Roman"/>
          <w:color w:val="000000"/>
        </w:rPr>
        <w:t>Методика выполнения работы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1. В</w:t>
      </w:r>
      <w:r w:rsidRPr="00D72849">
        <w:rPr>
          <w:rFonts w:ascii="Times New Roman" w:hAnsi="Times New Roman" w:cs="Times New Roman"/>
          <w:b/>
          <w:bCs/>
          <w:sz w:val="28"/>
          <w:szCs w:val="28"/>
          <w:u w:val="single"/>
        </w:rPr>
        <w:t>ыделение ДНК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1. В пробирку объемом 1,5 мл поместить 100-150 мг анализируемого образца. Для анализа необходимо взять кукурузу.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7" behindDoc="0" locked="0" layoutInCell="1" allowOverlap="1">
            <wp:simplePos x="0" y="0"/>
            <wp:positionH relativeFrom="column">
              <wp:posOffset>3278505</wp:posOffset>
            </wp:positionH>
            <wp:positionV relativeFrom="paragraph">
              <wp:posOffset>-104775</wp:posOffset>
            </wp:positionV>
            <wp:extent cx="2794635" cy="2550795"/>
            <wp:effectExtent l="0" t="0" r="0" b="0"/>
            <wp:wrapSquare wrapText="largest"/>
            <wp:docPr id="4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635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8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-184785</wp:posOffset>
            </wp:positionV>
            <wp:extent cx="3045460" cy="2203450"/>
            <wp:effectExtent l="0" t="0" r="0" b="0"/>
            <wp:wrapSquare wrapText="largest"/>
            <wp:docPr id="5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2849" w:rsidRDefault="00D72849">
      <w:pPr>
        <w:pStyle w:val="AlizarinLTGliederung10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Рисунок 4 — Процесс инкубации/кукуруза после инкубации </w:t>
      </w:r>
    </w:p>
    <w:p w:rsidR="003A44E3" w:rsidRPr="00D72849" w:rsidRDefault="00D72849">
      <w:pPr>
        <w:pStyle w:val="AlizarinLTGliederung1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1083310</wp:posOffset>
            </wp:positionV>
            <wp:extent cx="2384425" cy="2165985"/>
            <wp:effectExtent l="19050" t="0" r="0" b="0"/>
            <wp:wrapSquare wrapText="largest"/>
            <wp:docPr id="7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9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1065530</wp:posOffset>
            </wp:positionV>
            <wp:extent cx="2787650" cy="2184400"/>
            <wp:effectExtent l="19050" t="0" r="0" b="0"/>
            <wp:wrapSquare wrapText="largest"/>
            <wp:docPr id="6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7DD6" w:rsidRPr="00D72849">
        <w:rPr>
          <w:rFonts w:ascii="Times New Roman" w:hAnsi="Times New Roman" w:cs="Times New Roman"/>
          <w:sz w:val="28"/>
          <w:szCs w:val="28"/>
        </w:rPr>
        <w:t xml:space="preserve">2. Добавить 1 мл Буфера для экстракции. Инкубировать 20-30 минут при 50 </w:t>
      </w:r>
      <w:r w:rsidR="00C37DD6" w:rsidRPr="00D72849">
        <w:rPr>
          <w:rFonts w:ascii="Times New Roman" w:hAnsi="Times New Roman" w:cs="Times New Roman"/>
          <w:color w:val="333333"/>
          <w:sz w:val="28"/>
          <w:szCs w:val="28"/>
        </w:rPr>
        <w:t>°C, аккуратно перемешивая каждые 5-10 минут. Центрифугировать 5 минут при 15000×g, перенести супернатант в новую пробирку.</w:t>
      </w:r>
    </w:p>
    <w:p w:rsidR="003A44E3" w:rsidRPr="00D72849" w:rsidRDefault="003A44E3">
      <w:pPr>
        <w:pStyle w:val="AlizarinLTGliederung10"/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pStyle w:val="AlizarinLTGliederung10"/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D72849" w:rsidRDefault="00D72849">
      <w:pPr>
        <w:pStyle w:val="AlizarinLTGliederung10"/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</w:rPr>
      </w:pPr>
    </w:p>
    <w:p w:rsidR="00D72849" w:rsidRDefault="00D72849">
      <w:pPr>
        <w:pStyle w:val="AlizarinLTGliederung10"/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</w:rPr>
      </w:pPr>
    </w:p>
    <w:p w:rsidR="00D72849" w:rsidRDefault="00D72849">
      <w:pPr>
        <w:pStyle w:val="AlizarinLTGliederung10"/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</w:rPr>
      </w:pPr>
    </w:p>
    <w:p w:rsidR="00D72849" w:rsidRDefault="00D72849">
      <w:pPr>
        <w:pStyle w:val="AlizarinLTGliederung10"/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C37DD6">
      <w:pPr>
        <w:pStyle w:val="AlizarinLTGliederung10"/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Рисунок 6 — Центрифугирование/кукуруза после центрифугирования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3. Добавить 100 мкл Раствора ацетата калия, тщательно перемешать, инкубировать на льду 15 минут. Центрифугировать 15 минут при 15000×g.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noProof/>
          <w:color w:val="333333"/>
          <w:sz w:val="28"/>
          <w:szCs w:val="28"/>
          <w:lang w:eastAsia="ru-RU" w:bidi="ar-SA"/>
        </w:rPr>
        <w:drawing>
          <wp:anchor distT="0" distB="0" distL="0" distR="0" simplePos="0" relativeHeight="11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635</wp:posOffset>
            </wp:positionV>
            <wp:extent cx="3397885" cy="2357755"/>
            <wp:effectExtent l="0" t="0" r="0" b="0"/>
            <wp:wrapSquare wrapText="largest"/>
            <wp:docPr id="8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885" cy="2357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noProof/>
          <w:color w:val="333333"/>
          <w:sz w:val="28"/>
          <w:szCs w:val="28"/>
          <w:lang w:eastAsia="ru-RU" w:bidi="ar-SA"/>
        </w:rPr>
        <w:drawing>
          <wp:anchor distT="0" distB="0" distL="0" distR="0" simplePos="0" relativeHeight="12" behindDoc="0" locked="0" layoutInCell="1" allowOverlap="1">
            <wp:simplePos x="0" y="0"/>
            <wp:positionH relativeFrom="column">
              <wp:posOffset>3461385</wp:posOffset>
            </wp:positionH>
            <wp:positionV relativeFrom="paragraph">
              <wp:posOffset>10795</wp:posOffset>
            </wp:positionV>
            <wp:extent cx="2693035" cy="2347595"/>
            <wp:effectExtent l="0" t="0" r="0" b="0"/>
            <wp:wrapSquare wrapText="largest"/>
            <wp:docPr id="9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Рисунок 7 — Инкубация на льду/колонка с анализируемым образцом 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4. Перенести супернатант в чистую пробирку на 2 мл.</w:t>
      </w:r>
    </w:p>
    <w:p w:rsidR="003A44E3" w:rsidRPr="00D72849" w:rsidRDefault="00C37DD6">
      <w:pPr>
        <w:pStyle w:val="AlizarinLTGliederung10"/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5. Добавить к супернатанту равный объем Раствора для сорбции, перемешать на мешалке типа «Вортекс».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6. Подготовить пробирку-приемник и колонку для выделения ДНК. Колонку поместить в пробирку-приемник.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7. Внести в колонку с фильтром 100 мкл Раствора для промывки. Центрифугировать пробирку 10 секунд при 3000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×g.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8. Внести в колонку анализируемый образец. Центрифугировать 1 минуту при 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3000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×g. Необходимо учитывать, что объем колонки составляет 650 мкл. Если объем выделяемого образца превышает 650 мкл, последовательно нанести на фильтр весь образец, каждый раз удаляя фильтрат из 2 мл пробирки приемника.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9. Нанести на фильтр 300 мкл Раствора для промывки 1 и центрифугировать 10 секунд при 5000×g. Удалить фильтрат.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10. Повторно нанести на фильтр 300 мкл Раствора для промывки 1 и центрифугировать 30 секунд при 13000×g. Удалить фильтрат.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11. Нанести на фильтр 500 мкл Раствора для промывки 2 и центрифугировать 30 секунд при 13000×g. Удалить фильтрат.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12. Повторно нанести на фильтр 500 мкл Раствора для промывки 2 и центрифугировать 30 секунд при 13000×g. Удалить фильтрат.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13. Центрифугировать пробирку с микроколонкой в течение 30 секунд при 13000×g для удаления остатков раствора.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14. Извлечь микроколонку и поместить ее в новую пробирку объемом 1,5 мл. Поставить новую пробирку с микроколонкой в штатив.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15. Нанести на фильтр 200 мкл Раствора для элюции. Инкубировать микроколонку 3-5 минут при комнатной температуре.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16. Отцентрифугировать пробирку с колонкой в течение 1 минуты при 1000×g и 1 минуту при 13000×g. Полученный раствор содержит очищенную ДНК.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17. Пробирки подписать в соответствии с образцом, из которого проводили выделение ДНК. Образцы можно хранить при -20 °C </w:t>
      </w:r>
      <w:r w:rsidRPr="00D72849">
        <w:rPr>
          <w:rFonts w:ascii="Times New Roman" w:hAnsi="Times New Roman" w:cs="Times New Roman"/>
          <w:noProof/>
          <w:lang w:eastAsia="ru-RU" w:bidi="ar-SA"/>
        </w:rPr>
        <w:drawing>
          <wp:anchor distT="0" distB="0" distL="0" distR="0" simplePos="0" relativeHeight="13" behindDoc="0" locked="0" layoutInCell="1" allowOverlap="1">
            <wp:simplePos x="0" y="0"/>
            <wp:positionH relativeFrom="column">
              <wp:posOffset>3136265</wp:posOffset>
            </wp:positionH>
            <wp:positionV relativeFrom="paragraph">
              <wp:posOffset>612140</wp:posOffset>
            </wp:positionV>
            <wp:extent cx="2602865" cy="2566670"/>
            <wp:effectExtent l="0" t="0" r="0" b="0"/>
            <wp:wrapSquare wrapText="largest"/>
            <wp:docPr id="10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865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в течение нескольких месяцев для повторного ПЦР анализа.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                                                              Рисунок 8 — ДНК замороженной кукурузы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color w:val="333333"/>
          <w:sz w:val="28"/>
          <w:szCs w:val="28"/>
          <w:u w:val="single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333333"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333333"/>
          <w:sz w:val="28"/>
          <w:szCs w:val="28"/>
          <w:u w:val="single"/>
        </w:rPr>
        <w:t>2. Проведение ПЦР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1. Поместить в микроцентрифугу 3 пробирки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ДНК полимеразой, 1 пробирку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, 1 пробирку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35, 1 пробирку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. Отцентрифугировать растворы в течение 1 минуты при максимальной скорости оборотов.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2. Выставть пробирки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,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35,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ДНК полимеразой в штатив.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3. Перенести весь объем раствора (70 мкл) из пробирки с 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в первую пробирку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ДНК полимеразой с помощью автоматической пипетки. Смесь перемешать пепетированием. Получен реагент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, подпишите нащзвание на пробирке.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4. Используя новый наконечник, перенести весь объем раствора (70 мкл) из пробирки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35 во вторую пробирку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ДНК полимеразой с помощью автоматической пипетки. Смесь перемешать пепетированием. Получен реагент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35, подпишите нащзвание на пробирке.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5. Используя новый наконечник, перенести весь объем раствора (70 мкл) из пробирки с ГРС-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в третью пробирку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Taq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ДНК полимеразой с помощью автоматической пипетки. Смесь перемешать пепетированием. Получен реагент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, подпишите нащзвание на пробирке.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6. Содержимое пробирок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35 и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дополнительно перемешать на мешалке типа «Вортекс».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7. Отцентрифугировать пробирки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35 и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в микроцентриуге в течение 30 секунд со скоростью 13000×g.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8. Выставить в штатив 9 пустых пробирок объемом 0,2 мл. Для проведения реакций с каждой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требуется 3 пробирки: 1 пробирка для реакции с выделенной ДНК, 1 пробирка — для реакции с соответствующим ПКО и 1 — для реакции с ОКО.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9. Подписать пробирки, указав на них название реакционной смеси, для контрольных образцов добавить идентификатор «обр» для исследуемого образца, «+» - для ПКО и «» - для ОКО.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Таким образом можно получить 9 пробирок со следующими подписями: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_обр»,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_+»,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_-»,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_обр»,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_+»,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_-»,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35_обр»,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35_+»,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35_-».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3. Постановка ПЦР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10. В каждую пустую пробирку объемом 2 мл, подготовленную для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(3 пробирки с маркировкой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», подготовленные 9), с помощью автоматической пипетки внести по 15 мкл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11. Аналогично в 3 пробирки с маркировкой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35»,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» внести по 15 мкл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35,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zein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соответственно (должно получиться по 3 пробирки с каждой реакционной смесью).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12. В каждую пробирку с маркировкой 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«обр», пользуясь индивидульными наконечниками для каждого внесения образца, добавить по 5 мкл анализируемой ДНК на самое дно пробирки и тщательно перемешать содержимое пипетированием.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13. В микропробирки, выделенные для проведения положительного контроля (помечены «+»), внести по 5 мкл из пробирок с соответствующим ПКО и перемешать пипетированием.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ПКО-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вноситься только в пробирку с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(пробирка с маркировкой «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nos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+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», ПКО-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35 вносится только в пробирку с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 (пробирка с маркировкой «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p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35 +» и так далее.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Все ПКО следует вносить чистым наконечником!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14. В микропробирки, выделенные для проведения отрицательного контроля (помечены «-»), внести по 5 мкл из пробирки с ОКО (ОКО подходит для проведения отрицательного контроля со всеми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PC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) и перемешать пипетированием.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Все ОКО следует вносить чистым наконечником!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15. Отцентрифугировать все микропробирки в течение 5 секунд для удаления капель со стенок крышки и пробирки.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16. Поместить пробирки в амплификатор, убедиться, что крышки плотно закрыты.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17. Запрограммировать протокол проведения ПЦР, запустить реакцию амплификации.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Рисуно</w:t>
      </w:r>
      <w:r w:rsidRPr="00D72849">
        <w:rPr>
          <w:rFonts w:ascii="Times New Roman" w:hAnsi="Times New Roman" w:cs="Times New Roman"/>
          <w:noProof/>
          <w:color w:val="333333"/>
          <w:sz w:val="28"/>
          <w:szCs w:val="28"/>
          <w:lang w:eastAsia="ru-RU" w:bidi="ar-SA"/>
        </w:rPr>
        <w:drawing>
          <wp:anchor distT="0" distB="0" distL="0" distR="0" simplePos="0" relativeHeight="14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128270</wp:posOffset>
            </wp:positionV>
            <wp:extent cx="2715260" cy="1849755"/>
            <wp:effectExtent l="0" t="0" r="0" b="0"/>
            <wp:wrapSquare wrapText="largest"/>
            <wp:docPr id="11" name="Изображение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к 9 — Образцы в</w:t>
      </w:r>
      <w:r w:rsidRPr="00D72849">
        <w:rPr>
          <w:rFonts w:ascii="Times New Roman" w:hAnsi="Times New Roman" w:cs="Times New Roman"/>
          <w:noProof/>
          <w:lang w:eastAsia="ru-RU" w:bidi="ar-SA"/>
        </w:rPr>
        <w:drawing>
          <wp:anchor distT="0" distB="0" distL="0" distR="0" simplePos="0" relativeHeight="15" behindDoc="0" locked="0" layoutInCell="1" allowOverlap="1">
            <wp:simplePos x="0" y="0"/>
            <wp:positionH relativeFrom="column">
              <wp:posOffset>2760345</wp:posOffset>
            </wp:positionH>
            <wp:positionV relativeFrom="paragraph">
              <wp:posOffset>-3810</wp:posOffset>
            </wp:positionV>
            <wp:extent cx="3231515" cy="2073275"/>
            <wp:effectExtent l="0" t="0" r="0" b="0"/>
            <wp:wrapSquare wrapText="largest"/>
            <wp:docPr id="12" name="Изображение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 амплификаторе/протокол проведения ПЦР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333333"/>
          <w:sz w:val="28"/>
          <w:szCs w:val="28"/>
          <w:u w:val="single"/>
        </w:rPr>
        <w:t>4. Электрофорез в агарозном геле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1. Разбавить 50-кратный трис-ацетатный буферный раствор (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№1 и 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№2) до однократного, т. е. разбавить в 50 раз дистиллированной водой.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2. Для получения 100 мл 1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№1 необходимо взять вылить содержимое пробирки (2 мл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№1) в мерную колбу или цилиндр и добавить 98 мл дистиллированной воды.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17" behindDoc="0" locked="0" layoutInCell="1" allowOverlap="1">
            <wp:simplePos x="0" y="0"/>
            <wp:positionH relativeFrom="column">
              <wp:posOffset>3191510</wp:posOffset>
            </wp:positionH>
            <wp:positionV relativeFrom="paragraph">
              <wp:posOffset>756920</wp:posOffset>
            </wp:positionV>
            <wp:extent cx="3276600" cy="2209800"/>
            <wp:effectExtent l="19050" t="0" r="0" b="0"/>
            <wp:wrapSquare wrapText="largest"/>
            <wp:docPr id="13" name="Изображение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3. Для разбавления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-буфера №2 необходимо добавить к 13 мл аствора ~ 637 мл дистиллированной воды (общий объем раствора — 650 мл). Емкости с однократным буфером следует подписать.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Рисунок 10 —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-буфер №1/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-буфера №2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TAE-буфера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№1 и TAE-буфера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№2 — ничем не отличаются друг от друга. Они расфасованы так, чтобы было удобно использовать: TAE-буфера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№1 — 2 мл для приготовления геля,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-буфера 50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 №2 — 13 мл для однократного буфера для электрофореза. </w:t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5. Приготовление геля</w:t>
      </w: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Для проведения детекции продуктов амплификации необходим 1,8 % гель (1,8 г на 100 мл).</w:t>
      </w: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4. Взять высокий мерный стакан, высыпать в него содержимое флакона с агарозой (1,8 г).</w:t>
      </w: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5. Добавить 100 мл однократного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-буфера №1, который был приготовлен на этапе 2.</w:t>
      </w: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6. Для приготовления агарозного геля необходимо полностью растворить компоненты, содержащиеся в стакане. Для этого следует поместить стакан в СВЧ-печь, включить ее и внимательно наблюдать за процессом — нельзя допускать активного кипения раствора во избежание потерь. Для этого каждые 15 секунд необходимо доставать (с помощью полотенца и прихватки) и перемешивать смесь, немного покачивая стакан.</w:t>
      </w:r>
    </w:p>
    <w:p w:rsidR="003A44E3" w:rsidRPr="00D72849" w:rsidRDefault="00C37DD6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noProof/>
          <w:lang w:eastAsia="ru-RU" w:bidi="ar-SA"/>
        </w:rPr>
        <w:drawing>
          <wp:anchor distT="0" distB="0" distL="0" distR="0" simplePos="0" relativeHeight="18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-71755</wp:posOffset>
            </wp:positionV>
            <wp:extent cx="6120130" cy="2646680"/>
            <wp:effectExtent l="0" t="0" r="0" b="0"/>
            <wp:wrapSquare wrapText="largest"/>
            <wp:docPr id="14" name="Изображение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 xml:space="preserve">Рисунок 11 — Процесс растворения агарозы в  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TAE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№1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7. Часть смеси может испариться во время нагревания, поэтому нужно долить дистиллированной воды до первоначального объема (для геля размером 15</w:t>
      </w:r>
      <w:r w:rsidRPr="00D72849">
        <w:rPr>
          <w:rFonts w:ascii="Times New Roman" w:hAnsi="Times New Roman" w:cs="Times New Roman"/>
          <w:color w:val="333333"/>
          <w:sz w:val="28"/>
          <w:szCs w:val="28"/>
        </w:rPr>
        <w:t>×10 долить до 100 мл).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8. Расплавленную смесь охладить до температуры 40-50 °C, помешивая стакан.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9. Добавить в охлажденную смесь 2 мкл бромистого этидия.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10. В форму для заливки геля вставить гребенки, аккуратно вылить смесь, чтобы не было пузырьков.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11. Оставить агарозу для застывания (примерно 15-30 минут).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D72849">
        <w:rPr>
          <w:rFonts w:ascii="Times New Roman" w:hAnsi="Times New Roman" w:cs="Times New Roman"/>
          <w:noProof/>
          <w:color w:val="333333"/>
          <w:sz w:val="28"/>
          <w:szCs w:val="28"/>
          <w:lang w:eastAsia="ru-RU" w:bidi="ar-SA"/>
        </w:rPr>
        <w:drawing>
          <wp:anchor distT="0" distB="0" distL="0" distR="0" simplePos="0" relativeHeight="20" behindDoc="0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161290</wp:posOffset>
            </wp:positionV>
            <wp:extent cx="3209925" cy="2164715"/>
            <wp:effectExtent l="0" t="0" r="0" b="0"/>
            <wp:wrapSquare wrapText="largest"/>
            <wp:docPr id="15" name="Изображение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noProof/>
          <w:color w:val="333333"/>
          <w:sz w:val="28"/>
          <w:szCs w:val="28"/>
          <w:lang w:eastAsia="ru-RU" w:bidi="ar-SA"/>
        </w:rPr>
        <w:drawing>
          <wp:anchor distT="0" distB="0" distL="0" distR="0" simplePos="0" relativeHeight="21" behindDoc="0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201930</wp:posOffset>
            </wp:positionV>
            <wp:extent cx="2948940" cy="2144395"/>
            <wp:effectExtent l="0" t="0" r="0" b="0"/>
            <wp:wrapSquare wrapText="largest"/>
            <wp:docPr id="16" name="Изображение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>Рисунок 12 — Камера с агарозным гелем и вставленными гребенками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333333"/>
          <w:sz w:val="28"/>
          <w:szCs w:val="28"/>
        </w:rPr>
        <w:t xml:space="preserve">12. Аккуратно вынуть гребенки вертикально вверх, не повредив при этом отверстия в геле, которые образовались в результате изъятия гребенки (их называют карманами). Поместить гель в камеру для электрофореза, налить необходимое количество </w:t>
      </w:r>
      <w:r w:rsidRPr="00D72849">
        <w:rPr>
          <w:rFonts w:ascii="Times New Roman" w:hAnsi="Times New Roman" w:cs="Times New Roman"/>
          <w:color w:val="333333"/>
          <w:sz w:val="28"/>
          <w:szCs w:val="28"/>
          <w:lang w:val="en-US"/>
        </w:rPr>
        <w:t>T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AE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-буфер №2 1</w:t>
      </w:r>
      <w:r w:rsidRPr="00D72849"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D72849">
        <w:rPr>
          <w:rFonts w:ascii="Times New Roman" w:hAnsi="Times New Roman" w:cs="Times New Roman"/>
          <w:color w:val="000000"/>
          <w:sz w:val="28"/>
          <w:szCs w:val="28"/>
        </w:rPr>
        <w:t>, который приготовили на этапе 3 (буфер обязательно должен на 2-5 мм покрывать гель).</w:t>
      </w:r>
    </w:p>
    <w:p w:rsidR="003A44E3" w:rsidRPr="00D72849" w:rsidRDefault="003A44E3" w:rsidP="00D72849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7284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6. Проведение электрофореза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1. После окончания ПЦР, амплификатор открыть, пробирки с продуктами ПЦР выставить в штатив так, чтобы первыми стояли отрицательные контрольные образцы, далее положительные, а потом все исследуемые образцы.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Рисунок 13 – Образцы после амплификации/образцы с красителем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2. Испульзуя отдельные наконечники, внести по 5 мкл краски для нанесения на дно каждой микропробирки с ПЦР-продуктами, и перемешать пипетированием. Оставить на 5 минут.</w:t>
      </w:r>
    </w:p>
    <w:p w:rsidR="003A44E3" w:rsidRPr="00D72849" w:rsidRDefault="00C37DD6" w:rsidP="00D7284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3. В первое отверстие, образованное после изъятия гребенки (карман) каждого ряда на геле добавить по 5 мкл маркера.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16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73660</wp:posOffset>
            </wp:positionV>
            <wp:extent cx="2920365" cy="1920875"/>
            <wp:effectExtent l="0" t="0" r="0" b="0"/>
            <wp:wrapSquare wrapText="largest"/>
            <wp:docPr id="17" name="Изображение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19" behindDoc="0" locked="0" layoutInCell="1" allowOverlap="1">
            <wp:simplePos x="0" y="0"/>
            <wp:positionH relativeFrom="column">
              <wp:posOffset>3241040</wp:posOffset>
            </wp:positionH>
            <wp:positionV relativeFrom="paragraph">
              <wp:posOffset>124460</wp:posOffset>
            </wp:positionV>
            <wp:extent cx="2852420" cy="1890395"/>
            <wp:effectExtent l="0" t="0" r="0" b="0"/>
            <wp:wrapSquare wrapText="largest"/>
            <wp:docPr id="18" name="Изображение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Рисунок 13 – Образцы после амплификации/образцы с красителем</w:t>
      </w:r>
    </w:p>
    <w:p w:rsidR="003A44E3" w:rsidRPr="00D72849" w:rsidRDefault="00C37DD6" w:rsidP="00C37DD6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4. Используя отдельные наконечники, внести по 15-20 мкл каждой ПЦР-смеси с краской для нанесения в отдельные карманы. Закрыть камеру для электрофореза, проверить настройки прибора (80 В), а так же проверить правильность подключения проводов: плюс на источнике тока должен быть подключен красному кабелю электрофорезной камеры, а минус на источнике к черному кабелю камеры. Включить источник тока на 25-40 минут.</w:t>
      </w: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23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257810</wp:posOffset>
            </wp:positionV>
            <wp:extent cx="2787650" cy="1968500"/>
            <wp:effectExtent l="19050" t="0" r="0" b="0"/>
            <wp:wrapSquare wrapText="largest"/>
            <wp:docPr id="19" name="Изображение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Изображение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2849">
        <w:rPr>
          <w:rFonts w:ascii="Times New Roman" w:hAnsi="Times New Roman" w:cs="Times New Roman"/>
          <w:noProof/>
          <w:color w:val="000000"/>
          <w:sz w:val="28"/>
          <w:szCs w:val="28"/>
          <w:lang w:eastAsia="ru-RU" w:bidi="ar-SA"/>
        </w:rPr>
        <w:drawing>
          <wp:anchor distT="0" distB="0" distL="0" distR="0" simplePos="0" relativeHeight="22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-18415</wp:posOffset>
            </wp:positionV>
            <wp:extent cx="2270125" cy="2362835"/>
            <wp:effectExtent l="19050" t="0" r="0" b="0"/>
            <wp:wrapSquare wrapText="largest"/>
            <wp:docPr id="20" name="Изображение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2362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3A44E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37DD6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A44E3" w:rsidRPr="00D72849" w:rsidRDefault="00C37DD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72849">
        <w:rPr>
          <w:rFonts w:ascii="Times New Roman" w:hAnsi="Times New Roman" w:cs="Times New Roman"/>
          <w:color w:val="000000"/>
          <w:sz w:val="28"/>
          <w:szCs w:val="28"/>
        </w:rPr>
        <w:t>Рисунок 14 — Образцы, внесенные в карманы после изъятия гребенки и готовые к запуску электрофореза</w:t>
      </w:r>
    </w:p>
    <w:p w:rsidR="003A44E3" w:rsidRPr="00D72849" w:rsidRDefault="00C37DD6">
      <w:pPr>
        <w:pStyle w:val="Heading3"/>
        <w:numPr>
          <w:ilvl w:val="2"/>
          <w:numId w:val="2"/>
        </w:numPr>
        <w:jc w:val="center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</w:rPr>
        <w:t xml:space="preserve">ОБСУЖДЕНИЕ РЕЗУЛЬТАТОВ </w:t>
      </w:r>
    </w:p>
    <w:p w:rsidR="003A44E3" w:rsidRPr="00D72849" w:rsidRDefault="00C37DD6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172085</wp:posOffset>
            </wp:positionV>
            <wp:extent cx="4224020" cy="3170555"/>
            <wp:effectExtent l="19050" t="0" r="5080" b="0"/>
            <wp:wrapSquare wrapText="largest"/>
            <wp:docPr id="21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20" cy="3170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</w:rPr>
      </w:pPr>
    </w:p>
    <w:p w:rsidR="00C37DD6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37DD6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37DD6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C37DD6">
      <w:pPr>
        <w:pStyle w:val="a4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Рисунок 15 — результаты электрофореза для кукурузы в </w:t>
      </w:r>
    </w:p>
    <w:p w:rsidR="003A44E3" w:rsidRPr="00D72849" w:rsidRDefault="00C37DD6">
      <w:pPr>
        <w:pStyle w:val="a4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sz w:val="28"/>
          <w:szCs w:val="28"/>
        </w:rPr>
        <w:t>зернах Ашан (замороженной)</w:t>
      </w: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column">
              <wp:posOffset>1273810</wp:posOffset>
            </wp:positionH>
            <wp:positionV relativeFrom="paragraph">
              <wp:posOffset>-377190</wp:posOffset>
            </wp:positionV>
            <wp:extent cx="4229100" cy="3175000"/>
            <wp:effectExtent l="19050" t="0" r="0" b="0"/>
            <wp:wrapSquare wrapText="largest"/>
            <wp:docPr id="22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3A44E3" w:rsidRPr="00D72849" w:rsidRDefault="003A44E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A44E3" w:rsidRPr="00D72849" w:rsidRDefault="00C37DD6">
      <w:pPr>
        <w:pStyle w:val="a4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</w:p>
    <w:p w:rsidR="003A44E3" w:rsidRPr="00D72849" w:rsidRDefault="00C37DD6" w:rsidP="00C37DD6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Рисунок 16 — результаты электрофореза для консервированной кукурузы Ашан</w:t>
      </w:r>
    </w:p>
    <w:p w:rsidR="003A44E3" w:rsidRPr="00D72849" w:rsidRDefault="003A44E3">
      <w:pPr>
        <w:pStyle w:val="a4"/>
        <w:rPr>
          <w:rFonts w:ascii="Times New Roman" w:hAnsi="Times New Roman" w:cs="Times New Roman"/>
        </w:rPr>
      </w:pPr>
    </w:p>
    <w:p w:rsidR="003A44E3" w:rsidRPr="00D72849" w:rsidRDefault="00C37DD6">
      <w:pPr>
        <w:pStyle w:val="a4"/>
        <w:jc w:val="center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b/>
          <w:bCs/>
          <w:sz w:val="28"/>
          <w:szCs w:val="28"/>
        </w:rPr>
        <w:t>ВЫВОДЫ</w:t>
      </w:r>
    </w:p>
    <w:p w:rsidR="003A44E3" w:rsidRPr="00D72849" w:rsidRDefault="00C37DD6" w:rsidP="00D7284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В результате проделанной работы были сделаны следующие выводы: </w:t>
      </w:r>
    </w:p>
    <w:p w:rsidR="003A44E3" w:rsidRPr="00D72849" w:rsidRDefault="00C37DD6" w:rsidP="00D7284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1. Выделены молекулы ДНК из замороженной кукурузы в зернах и консервированной кукурузы марки Ашан в лабораторных условиях; </w:t>
      </w:r>
    </w:p>
    <w:p w:rsidR="003A44E3" w:rsidRPr="00D72849" w:rsidRDefault="00C37DD6" w:rsidP="00D7284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2. Проведен процесс ПЦР выделенных молекул ДНК для визуальной детекции результатов на этапе электрофореза; </w:t>
      </w:r>
    </w:p>
    <w:p w:rsidR="003A44E3" w:rsidRPr="00D72849" w:rsidRDefault="00C37DD6" w:rsidP="00D72849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3. Проведена регистрация результатов эксперимента (для двух объектов исследования), основанного на изучении исследуемого объекта на наличие По результатам электрофореза замороженной кукурузы в зернах, в связи с наличием гена зеина, можно сделать вывод о том, что в исследуемом образце присутствует ГМО, посредством проведения электрофореза в агарозном геле; </w:t>
      </w:r>
    </w:p>
    <w:p w:rsidR="003A44E3" w:rsidRPr="00D72849" w:rsidRDefault="00C37DD6" w:rsidP="00D72849">
      <w:pPr>
        <w:pStyle w:val="a4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4. Выделенную ДНК можно распознать по свечению лунок с положительными контрольными образцами и отсутствием свечения в лунках с отрицательными контрольными образцами. ДНК кукурузы определялась по гену зеина. По результатам электрофореза замороженной кукурузы в зернах, в связи с наличием гена зеина, можно сделать вывод о том, что в исследуемом образце присутствует ГМО. По результатам электрофореза консервированной кукурузы, в связи с отсутствием гена зеина, можно сделать вывод о том, что в исследуемом образце отсутствует ГМО;</w:t>
      </w:r>
    </w:p>
    <w:p w:rsidR="003A44E3" w:rsidRPr="00D72849" w:rsidRDefault="00C37DD6" w:rsidP="00D72849">
      <w:pPr>
        <w:pStyle w:val="a4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5. В ходе исследования мы подтвердили нашу гипотезу.</w:t>
      </w:r>
    </w:p>
    <w:p w:rsidR="003A44E3" w:rsidRPr="00D72849" w:rsidRDefault="00C37DD6" w:rsidP="00D72849">
      <w:pPr>
        <w:pStyle w:val="a4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 xml:space="preserve">В наше время технология чтения геномов стала относительно дешевой, поэтому в качестве решения данной проблемы хочу предложить указывать данные о геноме продуктов прямо на упаковке, посредством </w:t>
      </w:r>
      <w:r w:rsidRPr="00D72849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Pr="00D72849">
        <w:rPr>
          <w:rFonts w:ascii="Times New Roman" w:hAnsi="Times New Roman" w:cs="Times New Roman"/>
          <w:sz w:val="28"/>
          <w:szCs w:val="28"/>
        </w:rPr>
        <w:t xml:space="preserve">-кода (При этом прописать тезисы (указать сорт кукурузы, место и условия выращивания), доступные для понимания потребителя). Если производитель откажется размещать информацию о геноме, то тогда на его продукцию можно смело ставить маркировку «БОН» (Биологический организм с неизвестными геномами). Генетически модифицированные сорта фруктов и овощей хорошо изучены и испытаны, поэтому у их производителей не возникает никаких проблем с тем, чтобы показать геномы потребителям. А защитники так называемых натуральных продуктов могут не захотеть этого делать, ведь в противном случае специалисты могут обнаружить в их товарах какие-то изъяны. Думаю что каждый из нас предпочел бы товары с хорошо изученными, нежели товары с неизвестными геномами. </w:t>
      </w:r>
    </w:p>
    <w:p w:rsidR="003A44E3" w:rsidRPr="00D72849" w:rsidRDefault="003A44E3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3A44E3" w:rsidRDefault="003A44E3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D72849" w:rsidRDefault="00D7284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D72849" w:rsidRDefault="00D7284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D72849" w:rsidRDefault="00D7284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D72849" w:rsidRDefault="00D7284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D72849" w:rsidRPr="00D72849" w:rsidRDefault="00D72849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C37DD6" w:rsidRDefault="00C37DD6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37DD6" w:rsidRDefault="00C37DD6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37DD6" w:rsidRDefault="00C37DD6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A44E3" w:rsidRPr="00D72849" w:rsidRDefault="00C37DD6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2849">
        <w:rPr>
          <w:rFonts w:ascii="Times New Roman" w:hAnsi="Times New Roman" w:cs="Times New Roman"/>
          <w:b/>
          <w:bCs/>
          <w:sz w:val="28"/>
          <w:szCs w:val="28"/>
        </w:rPr>
        <w:t>СПИСОК ЛИТЕРАТУРЫ</w:t>
      </w:r>
    </w:p>
    <w:p w:rsidR="003A44E3" w:rsidRPr="00D72849" w:rsidRDefault="00C37DD6" w:rsidP="00D72849">
      <w:pPr>
        <w:pStyle w:val="AlizarinLTGliederung11"/>
        <w:jc w:val="both"/>
        <w:rPr>
          <w:rFonts w:ascii="Times New Roman" w:hAnsi="Times New Roman" w:cs="Times New Roman"/>
          <w:sz w:val="28"/>
          <w:szCs w:val="28"/>
        </w:rPr>
      </w:pPr>
      <w:r w:rsidRPr="00D72849">
        <w:rPr>
          <w:rFonts w:ascii="Times New Roman" w:hAnsi="Times New Roman" w:cs="Times New Roman"/>
          <w:sz w:val="28"/>
          <w:szCs w:val="28"/>
        </w:rPr>
        <w:t>1. ПЦР: что это такое? Диагностика инфекционных заболеваний методом полимеразной цепной реакции // INVITRO URL: https://www.invitro.ru/moscow/library/labdiagnostika/16110/</w:t>
      </w:r>
    </w:p>
    <w:p w:rsidR="003A44E3" w:rsidRPr="00D72849" w:rsidRDefault="00C37DD6" w:rsidP="00D72849">
      <w:pPr>
        <w:pStyle w:val="AlizarinLTGliederung11"/>
        <w:spacing w:before="283" w:after="0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sz w:val="28"/>
        </w:rPr>
        <w:t>2. Качественное и количественное определение генетически модифицированных организмов (ГМО) растительного происхождения в продуктах питания и пищевом сырье тест-системами производства ЗАО «Синтол» MP 02.008-06.pdf  // https://www.syntol.ru/bitrix/docs/MP%2002.008-06.pdf</w:t>
      </w:r>
    </w:p>
    <w:p w:rsidR="003A44E3" w:rsidRPr="00D72849" w:rsidRDefault="00C37DD6" w:rsidP="00D72849">
      <w:pPr>
        <w:pStyle w:val="AlizarinLTGliederung11"/>
        <w:spacing w:before="283" w:after="0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sz w:val="28"/>
        </w:rPr>
        <w:t xml:space="preserve">3. Генетически модифицированные источники пищи: актуальность проблемы, технология создания, Вопросы безопасности и контроля УДК 641:602.6 // </w:t>
      </w:r>
      <w:r w:rsidRPr="00D72849">
        <w:rPr>
          <w:rFonts w:ascii="Times New Roman" w:hAnsi="Times New Roman" w:cs="Times New Roman"/>
          <w:color w:val="2A6099"/>
          <w:sz w:val="28"/>
        </w:rPr>
        <w:t>https://cyberleninka.ru/article/n/geneticheski-modifitsirovannye-istochniki-pischi-aktualnost-problemy-tehnologiya-sozdaniya-voprosy-bezopasnosti-i-kontrolya/viewer</w:t>
      </w:r>
    </w:p>
    <w:p w:rsidR="003A44E3" w:rsidRPr="00D72849" w:rsidRDefault="00C37DD6" w:rsidP="00D72849">
      <w:pPr>
        <w:pStyle w:val="AlizarinLTGliederung11"/>
        <w:spacing w:before="283" w:after="0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</w:rPr>
        <w:t>4. Теоретические материалы и инструкции по использованию набора МБС «Определение ГМО в продуктах питания» // https://vk.com/doc-215689198_650702110?hash=jIMHfDOg8yUUD9FhvGPrZDaqk8s1w8ZqJK1IAAZjTGs&amp;dl=AZCiioUqKZpsh5LbcTCRkVVzz7AUbeZs4030bcWz2Kw</w:t>
      </w:r>
    </w:p>
    <w:p w:rsidR="003A44E3" w:rsidRPr="00D72849" w:rsidRDefault="00C37DD6" w:rsidP="00D72849">
      <w:pPr>
        <w:pStyle w:val="AlizarinLTGliederung11"/>
        <w:spacing w:before="283" w:after="0"/>
        <w:jc w:val="both"/>
        <w:rPr>
          <w:rFonts w:ascii="Times New Roman" w:hAnsi="Times New Roman" w:cs="Times New Roman"/>
        </w:rPr>
      </w:pPr>
      <w:r w:rsidRPr="00D72849">
        <w:rPr>
          <w:rFonts w:ascii="Times New Roman" w:hAnsi="Times New Roman" w:cs="Times New Roman"/>
          <w:color w:val="000000"/>
          <w:sz w:val="28"/>
        </w:rPr>
        <w:t>5. О.К.Давыдова Методические указания к лабораторному практикуму по генной инженерии «Полимеразная цепная реакция» // http://elib.osu.ru/bitstream/123456789/8887/1/1811_20110824.pdf</w:t>
      </w:r>
    </w:p>
    <w:p w:rsidR="003A44E3" w:rsidRPr="00D72849" w:rsidRDefault="003A44E3" w:rsidP="00D72849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3A44E3" w:rsidRPr="00D72849" w:rsidSect="003A44E3">
      <w:footerReference w:type="default" r:id="rId29"/>
      <w:pgSz w:w="11906" w:h="16838"/>
      <w:pgMar w:top="1134" w:right="1134" w:bottom="1693" w:left="1134" w:header="0" w:footer="1134" w:gutter="0"/>
      <w:cols w:space="720"/>
      <w:formProt w:val="0"/>
      <w:titlePg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44E3" w:rsidRDefault="003A44E3" w:rsidP="003A44E3">
      <w:pPr>
        <w:spacing w:line="240" w:lineRule="auto"/>
      </w:pPr>
      <w:r>
        <w:separator/>
      </w:r>
    </w:p>
  </w:endnote>
  <w:endnote w:type="continuationSeparator" w:id="0">
    <w:p w:rsidR="003A44E3" w:rsidRDefault="003A44E3" w:rsidP="003A44E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Liberation Serif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ource Sans Pro Semibold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Source Sans Pro Black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Source Sans Pro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Source Sans Pro Light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44E3" w:rsidRDefault="006B6CA2">
    <w:pPr>
      <w:pStyle w:val="Footer"/>
      <w:jc w:val="center"/>
    </w:pPr>
    <w:r>
      <w:fldChar w:fldCharType="begin"/>
    </w:r>
    <w:r w:rsidR="00C37DD6">
      <w:instrText>PAGE</w:instrText>
    </w:r>
    <w:r>
      <w:fldChar w:fldCharType="separate"/>
    </w:r>
    <w:r w:rsidR="008D4EB0">
      <w:rPr>
        <w:noProof/>
      </w:rPr>
      <w:t>5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44E3" w:rsidRDefault="003A44E3" w:rsidP="003A44E3">
      <w:pPr>
        <w:spacing w:line="240" w:lineRule="auto"/>
      </w:pPr>
      <w:r>
        <w:separator/>
      </w:r>
    </w:p>
  </w:footnote>
  <w:footnote w:type="continuationSeparator" w:id="0">
    <w:p w:rsidR="003A44E3" w:rsidRDefault="003A44E3" w:rsidP="003A44E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C75C0A"/>
    <w:multiLevelType w:val="multilevel"/>
    <w:tmpl w:val="75A0F56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359F421A"/>
    <w:multiLevelType w:val="multilevel"/>
    <w:tmpl w:val="4784F06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9"/>
  <w:autoHyphenation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</w:compat>
  <w:rsids>
    <w:rsidRoot w:val="003A44E3"/>
    <w:rsid w:val="003A44E3"/>
    <w:rsid w:val="003B7AA3"/>
    <w:rsid w:val="005E3BA0"/>
    <w:rsid w:val="006B6CA2"/>
    <w:rsid w:val="00756E81"/>
    <w:rsid w:val="008D4EB0"/>
    <w:rsid w:val="009E1C99"/>
    <w:rsid w:val="00C37DD6"/>
    <w:rsid w:val="00D728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4E3"/>
    <w:pPr>
      <w:spacing w:line="200" w:lineRule="atLeast"/>
    </w:pPr>
    <w:rPr>
      <w:rFonts w:ascii="Arial" w:eastAsia="Tahoma" w:hAnsi="Arial" w:cs="Noto Sans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3">
    <w:name w:val="Heading 3"/>
    <w:basedOn w:val="a3"/>
    <w:next w:val="a4"/>
    <w:qFormat/>
    <w:rsid w:val="003A44E3"/>
    <w:pPr>
      <w:numPr>
        <w:ilvl w:val="2"/>
        <w:numId w:val="1"/>
      </w:numPr>
      <w:spacing w:before="140"/>
      <w:outlineLvl w:val="2"/>
    </w:pPr>
    <w:rPr>
      <w:b/>
      <w:bCs/>
    </w:rPr>
  </w:style>
  <w:style w:type="character" w:customStyle="1" w:styleId="-">
    <w:name w:val="Интернет-ссылка"/>
    <w:rsid w:val="003A44E3"/>
    <w:rPr>
      <w:color w:val="000080"/>
      <w:u w:val="single"/>
    </w:rPr>
  </w:style>
  <w:style w:type="character" w:customStyle="1" w:styleId="a5">
    <w:name w:val="Ссылка указателя"/>
    <w:qFormat/>
    <w:rsid w:val="003A44E3"/>
  </w:style>
  <w:style w:type="character" w:customStyle="1" w:styleId="a6">
    <w:name w:val="Маркеры списка"/>
    <w:qFormat/>
    <w:rsid w:val="003A44E3"/>
    <w:rPr>
      <w:rFonts w:ascii="OpenSymbol" w:eastAsia="OpenSymbol" w:hAnsi="OpenSymbol" w:cs="OpenSymbol"/>
    </w:rPr>
  </w:style>
  <w:style w:type="paragraph" w:customStyle="1" w:styleId="a3">
    <w:name w:val="Заголовок"/>
    <w:basedOn w:val="a"/>
    <w:next w:val="a4"/>
    <w:qFormat/>
    <w:rsid w:val="003A44E3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4">
    <w:name w:val="Body Text"/>
    <w:basedOn w:val="a"/>
    <w:rsid w:val="003A44E3"/>
    <w:pPr>
      <w:spacing w:after="140" w:line="276" w:lineRule="auto"/>
    </w:pPr>
  </w:style>
  <w:style w:type="paragraph" w:styleId="a7">
    <w:name w:val="List"/>
    <w:basedOn w:val="a4"/>
    <w:rsid w:val="003A44E3"/>
    <w:rPr>
      <w:rFonts w:cs="Arial"/>
    </w:rPr>
  </w:style>
  <w:style w:type="paragraph" w:customStyle="1" w:styleId="Caption">
    <w:name w:val="Caption"/>
    <w:basedOn w:val="a"/>
    <w:qFormat/>
    <w:rsid w:val="003A44E3"/>
    <w:pPr>
      <w:suppressLineNumbers/>
      <w:spacing w:before="120" w:after="120"/>
    </w:pPr>
    <w:rPr>
      <w:rFonts w:cs="Arial"/>
      <w:i/>
      <w:iCs/>
      <w:sz w:val="24"/>
    </w:rPr>
  </w:style>
  <w:style w:type="paragraph" w:styleId="a8">
    <w:name w:val="index heading"/>
    <w:basedOn w:val="a"/>
    <w:qFormat/>
    <w:rsid w:val="003A44E3"/>
    <w:pPr>
      <w:suppressLineNumbers/>
    </w:pPr>
    <w:rPr>
      <w:rFonts w:cs="Arial"/>
    </w:rPr>
  </w:style>
  <w:style w:type="paragraph" w:customStyle="1" w:styleId="LTUntertitel">
    <w:name w:val="Обычный~LT~Untertitel"/>
    <w:qFormat/>
    <w:rsid w:val="003A44E3"/>
    <w:pPr>
      <w:jc w:val="center"/>
    </w:pPr>
    <w:rPr>
      <w:rFonts w:ascii="Arial" w:eastAsia="Tahoma" w:hAnsi="Arial" w:cs="Noto Sans"/>
      <w:sz w:val="64"/>
    </w:rPr>
  </w:style>
  <w:style w:type="paragraph" w:customStyle="1" w:styleId="IndexHeading">
    <w:name w:val="Index Heading"/>
    <w:basedOn w:val="a3"/>
    <w:rsid w:val="003A44E3"/>
    <w:pPr>
      <w:suppressLineNumbers/>
    </w:pPr>
    <w:rPr>
      <w:b/>
      <w:bCs/>
      <w:sz w:val="32"/>
      <w:szCs w:val="32"/>
    </w:rPr>
  </w:style>
  <w:style w:type="paragraph" w:customStyle="1" w:styleId="TOAHeading">
    <w:name w:val="TOA Heading"/>
    <w:basedOn w:val="IndexHeading"/>
    <w:qFormat/>
    <w:rsid w:val="003A44E3"/>
  </w:style>
  <w:style w:type="paragraph" w:customStyle="1" w:styleId="TOC3">
    <w:name w:val="TOC 3"/>
    <w:basedOn w:val="a8"/>
    <w:rsid w:val="003A44E3"/>
    <w:pPr>
      <w:tabs>
        <w:tab w:val="right" w:leader="dot" w:pos="9072"/>
      </w:tabs>
      <w:ind w:left="566"/>
    </w:pPr>
  </w:style>
  <w:style w:type="paragraph" w:customStyle="1" w:styleId="AlizarinLTGliederung1">
    <w:name w:val="Alizarin~LT~Gliederung 1"/>
    <w:qFormat/>
    <w:rsid w:val="003A44E3"/>
    <w:pPr>
      <w:spacing w:after="171"/>
    </w:pPr>
    <w:rPr>
      <w:rFonts w:ascii="Source Sans Pro Semibold" w:eastAsia="Tahoma" w:hAnsi="Source Sans Pro Semibold" w:cs="Noto Sans"/>
      <w:color w:val="1C1C1C"/>
      <w:sz w:val="52"/>
    </w:rPr>
  </w:style>
  <w:style w:type="paragraph" w:customStyle="1" w:styleId="AlizarinLTGliederung10">
    <w:name w:val="Alizarin_~LT~Gliederung 1"/>
    <w:qFormat/>
    <w:rsid w:val="003A44E3"/>
    <w:pPr>
      <w:spacing w:after="171"/>
    </w:pPr>
    <w:rPr>
      <w:rFonts w:ascii="Source Sans Pro Semibold" w:eastAsia="Tahoma" w:hAnsi="Source Sans Pro Semibold" w:cs="Noto Sans"/>
      <w:color w:val="1C1C1C"/>
      <w:sz w:val="52"/>
    </w:rPr>
  </w:style>
  <w:style w:type="paragraph" w:customStyle="1" w:styleId="AlizarinLTGliederung11">
    <w:name w:val="Alizarin__~LT~Gliederung 1"/>
    <w:qFormat/>
    <w:rsid w:val="003A44E3"/>
    <w:pPr>
      <w:spacing w:after="171"/>
    </w:pPr>
    <w:rPr>
      <w:rFonts w:ascii="Source Sans Pro Semibold" w:eastAsia="Tahoma" w:hAnsi="Source Sans Pro Semibold" w:cs="Noto Sans"/>
      <w:color w:val="1C1C1C"/>
      <w:sz w:val="52"/>
    </w:rPr>
  </w:style>
  <w:style w:type="paragraph" w:customStyle="1" w:styleId="a9">
    <w:name w:val="Объект без заливки"/>
    <w:basedOn w:val="a"/>
    <w:qFormat/>
    <w:rsid w:val="003A44E3"/>
  </w:style>
  <w:style w:type="paragraph" w:customStyle="1" w:styleId="aa">
    <w:name w:val="Объект без заливки и линий"/>
    <w:basedOn w:val="a"/>
    <w:qFormat/>
    <w:rsid w:val="003A44E3"/>
  </w:style>
  <w:style w:type="paragraph" w:customStyle="1" w:styleId="A40">
    <w:name w:val="A4"/>
    <w:basedOn w:val="ab"/>
    <w:qFormat/>
    <w:rsid w:val="003A44E3"/>
    <w:rPr>
      <w:rFonts w:ascii="Noto Sans" w:hAnsi="Noto Sans"/>
      <w:sz w:val="36"/>
    </w:rPr>
  </w:style>
  <w:style w:type="paragraph" w:styleId="ab">
    <w:name w:val="Plain Text"/>
    <w:basedOn w:val="Caption"/>
    <w:qFormat/>
    <w:rsid w:val="003A44E3"/>
  </w:style>
  <w:style w:type="paragraph" w:customStyle="1" w:styleId="4">
    <w:name w:val="Заглавие А4"/>
    <w:basedOn w:val="A40"/>
    <w:qFormat/>
    <w:rsid w:val="003A44E3"/>
    <w:rPr>
      <w:sz w:val="88"/>
    </w:rPr>
  </w:style>
  <w:style w:type="paragraph" w:customStyle="1" w:styleId="40">
    <w:name w:val="Заголовок А4"/>
    <w:basedOn w:val="A40"/>
    <w:qFormat/>
    <w:rsid w:val="003A44E3"/>
    <w:rPr>
      <w:sz w:val="48"/>
    </w:rPr>
  </w:style>
  <w:style w:type="paragraph" w:customStyle="1" w:styleId="41">
    <w:name w:val="Текст А4"/>
    <w:basedOn w:val="A40"/>
    <w:qFormat/>
    <w:rsid w:val="003A44E3"/>
  </w:style>
  <w:style w:type="paragraph" w:customStyle="1" w:styleId="A00">
    <w:name w:val="A0"/>
    <w:basedOn w:val="ab"/>
    <w:qFormat/>
    <w:rsid w:val="003A44E3"/>
    <w:rPr>
      <w:rFonts w:ascii="Noto Sans" w:hAnsi="Noto Sans"/>
      <w:sz w:val="95"/>
    </w:rPr>
  </w:style>
  <w:style w:type="paragraph" w:customStyle="1" w:styleId="0">
    <w:name w:val="Заглавие А0"/>
    <w:basedOn w:val="A40"/>
    <w:qFormat/>
    <w:rsid w:val="003A44E3"/>
    <w:rPr>
      <w:sz w:val="192"/>
    </w:rPr>
  </w:style>
  <w:style w:type="paragraph" w:customStyle="1" w:styleId="00">
    <w:name w:val="Заголовок А0"/>
    <w:basedOn w:val="A40"/>
    <w:qFormat/>
    <w:rsid w:val="003A44E3"/>
    <w:rPr>
      <w:sz w:val="144"/>
    </w:rPr>
  </w:style>
  <w:style w:type="paragraph" w:customStyle="1" w:styleId="01">
    <w:name w:val="Текст А0"/>
    <w:basedOn w:val="A40"/>
    <w:qFormat/>
    <w:rsid w:val="003A44E3"/>
  </w:style>
  <w:style w:type="paragraph" w:customStyle="1" w:styleId="ac">
    <w:name w:val="Графика"/>
    <w:qFormat/>
    <w:rsid w:val="003A44E3"/>
    <w:rPr>
      <w:rFonts w:ascii="Liberation Sans" w:eastAsia="Tahoma" w:hAnsi="Liberation Sans" w:cs="Noto Sans"/>
      <w:sz w:val="36"/>
    </w:rPr>
  </w:style>
  <w:style w:type="paragraph" w:customStyle="1" w:styleId="ad">
    <w:name w:val="Фигуры"/>
    <w:basedOn w:val="ac"/>
    <w:qFormat/>
    <w:rsid w:val="003A44E3"/>
    <w:rPr>
      <w:b/>
      <w:sz w:val="28"/>
    </w:rPr>
  </w:style>
  <w:style w:type="paragraph" w:customStyle="1" w:styleId="ae">
    <w:name w:val="Заливка"/>
    <w:basedOn w:val="ad"/>
    <w:qFormat/>
    <w:rsid w:val="003A44E3"/>
  </w:style>
  <w:style w:type="paragraph" w:customStyle="1" w:styleId="af">
    <w:name w:val="Заливка синим"/>
    <w:basedOn w:val="ae"/>
    <w:qFormat/>
    <w:rsid w:val="003A44E3"/>
    <w:rPr>
      <w:color w:val="FFFFFF"/>
    </w:rPr>
  </w:style>
  <w:style w:type="paragraph" w:customStyle="1" w:styleId="af0">
    <w:name w:val="Заливка зелёным"/>
    <w:basedOn w:val="ae"/>
    <w:qFormat/>
    <w:rsid w:val="003A44E3"/>
    <w:rPr>
      <w:color w:val="FFFFFF"/>
    </w:rPr>
  </w:style>
  <w:style w:type="paragraph" w:customStyle="1" w:styleId="af1">
    <w:name w:val="Заливка красным"/>
    <w:basedOn w:val="ae"/>
    <w:qFormat/>
    <w:rsid w:val="003A44E3"/>
    <w:rPr>
      <w:color w:val="FFFFFF"/>
    </w:rPr>
  </w:style>
  <w:style w:type="paragraph" w:customStyle="1" w:styleId="af2">
    <w:name w:val="Заливка жёлтым"/>
    <w:basedOn w:val="ae"/>
    <w:qFormat/>
    <w:rsid w:val="003A44E3"/>
    <w:rPr>
      <w:color w:val="FFFFFF"/>
    </w:rPr>
  </w:style>
  <w:style w:type="paragraph" w:customStyle="1" w:styleId="af3">
    <w:name w:val="Контур"/>
    <w:basedOn w:val="ad"/>
    <w:qFormat/>
    <w:rsid w:val="003A44E3"/>
  </w:style>
  <w:style w:type="paragraph" w:customStyle="1" w:styleId="af4">
    <w:name w:val="Контур синий"/>
    <w:basedOn w:val="af3"/>
    <w:qFormat/>
    <w:rsid w:val="003A44E3"/>
    <w:rPr>
      <w:color w:val="355269"/>
    </w:rPr>
  </w:style>
  <w:style w:type="paragraph" w:customStyle="1" w:styleId="af5">
    <w:name w:val="Контур зеленый"/>
    <w:basedOn w:val="af3"/>
    <w:qFormat/>
    <w:rsid w:val="003A44E3"/>
    <w:rPr>
      <w:color w:val="127622"/>
    </w:rPr>
  </w:style>
  <w:style w:type="paragraph" w:customStyle="1" w:styleId="af6">
    <w:name w:val="Контур красный"/>
    <w:basedOn w:val="af3"/>
    <w:qFormat/>
    <w:rsid w:val="003A44E3"/>
    <w:rPr>
      <w:color w:val="C9211E"/>
    </w:rPr>
  </w:style>
  <w:style w:type="paragraph" w:customStyle="1" w:styleId="af7">
    <w:name w:val="Контур жёлтый"/>
    <w:basedOn w:val="af3"/>
    <w:qFormat/>
    <w:rsid w:val="003A44E3"/>
    <w:rPr>
      <w:color w:val="B47804"/>
    </w:rPr>
  </w:style>
  <w:style w:type="paragraph" w:customStyle="1" w:styleId="af8">
    <w:name w:val="Линии"/>
    <w:basedOn w:val="ac"/>
    <w:qFormat/>
    <w:rsid w:val="003A44E3"/>
  </w:style>
  <w:style w:type="paragraph" w:customStyle="1" w:styleId="af9">
    <w:name w:val="Стрелки"/>
    <w:basedOn w:val="af8"/>
    <w:qFormat/>
    <w:rsid w:val="003A44E3"/>
  </w:style>
  <w:style w:type="paragraph" w:customStyle="1" w:styleId="afa">
    <w:name w:val="Штриховая линия"/>
    <w:basedOn w:val="af8"/>
    <w:qFormat/>
    <w:rsid w:val="003A44E3"/>
  </w:style>
  <w:style w:type="paragraph" w:customStyle="1" w:styleId="LTGliederung1">
    <w:name w:val="Обычный~LT~Gliederung 1"/>
    <w:qFormat/>
    <w:rsid w:val="003A44E3"/>
    <w:pPr>
      <w:spacing w:before="283"/>
    </w:pPr>
    <w:rPr>
      <w:rFonts w:ascii="Arial" w:eastAsia="Tahoma" w:hAnsi="Arial" w:cs="Noto Sans"/>
      <w:sz w:val="64"/>
    </w:rPr>
  </w:style>
  <w:style w:type="paragraph" w:customStyle="1" w:styleId="LTGliederung2">
    <w:name w:val="Обычный~LT~Gliederung 2"/>
    <w:basedOn w:val="LTGliederung1"/>
    <w:qFormat/>
    <w:rsid w:val="003A44E3"/>
    <w:pPr>
      <w:spacing w:before="227"/>
    </w:pPr>
    <w:rPr>
      <w:sz w:val="56"/>
    </w:rPr>
  </w:style>
  <w:style w:type="paragraph" w:customStyle="1" w:styleId="LTGliederung3">
    <w:name w:val="Обычный~LT~Gliederung 3"/>
    <w:basedOn w:val="LTGliederung2"/>
    <w:qFormat/>
    <w:rsid w:val="003A44E3"/>
    <w:pPr>
      <w:spacing w:before="170"/>
    </w:pPr>
    <w:rPr>
      <w:sz w:val="48"/>
    </w:rPr>
  </w:style>
  <w:style w:type="paragraph" w:customStyle="1" w:styleId="LTGliederung4">
    <w:name w:val="Обычный~LT~Gliederung 4"/>
    <w:basedOn w:val="LTGliederung3"/>
    <w:qFormat/>
    <w:rsid w:val="003A44E3"/>
    <w:pPr>
      <w:spacing w:before="113"/>
    </w:pPr>
    <w:rPr>
      <w:sz w:val="40"/>
    </w:rPr>
  </w:style>
  <w:style w:type="paragraph" w:customStyle="1" w:styleId="LTGliederung5">
    <w:name w:val="Обычный~LT~Gliederung 5"/>
    <w:basedOn w:val="LTGliederung4"/>
    <w:qFormat/>
    <w:rsid w:val="003A44E3"/>
    <w:pPr>
      <w:spacing w:before="57"/>
    </w:pPr>
  </w:style>
  <w:style w:type="paragraph" w:customStyle="1" w:styleId="LTGliederung6">
    <w:name w:val="Обычный~LT~Gliederung 6"/>
    <w:basedOn w:val="LTGliederung5"/>
    <w:qFormat/>
    <w:rsid w:val="003A44E3"/>
  </w:style>
  <w:style w:type="paragraph" w:customStyle="1" w:styleId="LTGliederung7">
    <w:name w:val="Обычный~LT~Gliederung 7"/>
    <w:basedOn w:val="LTGliederung6"/>
    <w:qFormat/>
    <w:rsid w:val="003A44E3"/>
  </w:style>
  <w:style w:type="paragraph" w:customStyle="1" w:styleId="LTGliederung8">
    <w:name w:val="Обычный~LT~Gliederung 8"/>
    <w:basedOn w:val="LTGliederung7"/>
    <w:qFormat/>
    <w:rsid w:val="003A44E3"/>
  </w:style>
  <w:style w:type="paragraph" w:customStyle="1" w:styleId="LTGliederung9">
    <w:name w:val="Обычный~LT~Gliederung 9"/>
    <w:basedOn w:val="LTGliederung8"/>
    <w:qFormat/>
    <w:rsid w:val="003A44E3"/>
  </w:style>
  <w:style w:type="paragraph" w:customStyle="1" w:styleId="LTTitel">
    <w:name w:val="Обычный~LT~Titel"/>
    <w:qFormat/>
    <w:rsid w:val="003A44E3"/>
    <w:pPr>
      <w:jc w:val="center"/>
    </w:pPr>
    <w:rPr>
      <w:rFonts w:ascii="Arial" w:eastAsia="Tahoma" w:hAnsi="Arial" w:cs="Noto Sans"/>
      <w:sz w:val="88"/>
    </w:rPr>
  </w:style>
  <w:style w:type="paragraph" w:customStyle="1" w:styleId="LTNotizen">
    <w:name w:val="Обычный~LT~Notizen"/>
    <w:qFormat/>
    <w:rsid w:val="003A44E3"/>
    <w:pPr>
      <w:ind w:left="340" w:hanging="340"/>
    </w:pPr>
    <w:rPr>
      <w:rFonts w:ascii="Arial" w:eastAsia="Tahoma" w:hAnsi="Arial" w:cs="Noto Sans"/>
      <w:sz w:val="40"/>
    </w:rPr>
  </w:style>
  <w:style w:type="paragraph" w:customStyle="1" w:styleId="LTHintergrundobjekte">
    <w:name w:val="Обычный~LT~Hintergrundobjekte"/>
    <w:qFormat/>
    <w:rsid w:val="003A44E3"/>
    <w:rPr>
      <w:rFonts w:eastAsia="Tahoma" w:cs="Noto Sans"/>
      <w:sz w:val="24"/>
    </w:rPr>
  </w:style>
  <w:style w:type="paragraph" w:customStyle="1" w:styleId="LTHintergrund">
    <w:name w:val="Обычный~LT~Hintergrund"/>
    <w:qFormat/>
    <w:rsid w:val="003A44E3"/>
    <w:rPr>
      <w:rFonts w:eastAsia="Tahoma" w:cs="Noto Sans"/>
      <w:sz w:val="24"/>
    </w:rPr>
  </w:style>
  <w:style w:type="paragraph" w:customStyle="1" w:styleId="default">
    <w:name w:val="default"/>
    <w:qFormat/>
    <w:rsid w:val="003A44E3"/>
    <w:pPr>
      <w:spacing w:line="200" w:lineRule="atLeast"/>
    </w:pPr>
    <w:rPr>
      <w:rFonts w:ascii="Arial" w:eastAsia="Tahoma" w:hAnsi="Arial" w:cs="Noto Sans"/>
      <w:sz w:val="36"/>
    </w:rPr>
  </w:style>
  <w:style w:type="paragraph" w:customStyle="1" w:styleId="gray1">
    <w:name w:val="gray1"/>
    <w:basedOn w:val="default"/>
    <w:qFormat/>
    <w:rsid w:val="003A44E3"/>
  </w:style>
  <w:style w:type="paragraph" w:customStyle="1" w:styleId="gray2">
    <w:name w:val="gray2"/>
    <w:basedOn w:val="default"/>
    <w:qFormat/>
    <w:rsid w:val="003A44E3"/>
  </w:style>
  <w:style w:type="paragraph" w:customStyle="1" w:styleId="gray3">
    <w:name w:val="gray3"/>
    <w:basedOn w:val="default"/>
    <w:qFormat/>
    <w:rsid w:val="003A44E3"/>
  </w:style>
  <w:style w:type="paragraph" w:customStyle="1" w:styleId="bw1">
    <w:name w:val="bw1"/>
    <w:basedOn w:val="default"/>
    <w:qFormat/>
    <w:rsid w:val="003A44E3"/>
  </w:style>
  <w:style w:type="paragraph" w:customStyle="1" w:styleId="bw2">
    <w:name w:val="bw2"/>
    <w:basedOn w:val="default"/>
    <w:qFormat/>
    <w:rsid w:val="003A44E3"/>
  </w:style>
  <w:style w:type="paragraph" w:customStyle="1" w:styleId="bw3">
    <w:name w:val="bw3"/>
    <w:basedOn w:val="default"/>
    <w:qFormat/>
    <w:rsid w:val="003A44E3"/>
  </w:style>
  <w:style w:type="paragraph" w:customStyle="1" w:styleId="orange1">
    <w:name w:val="orange1"/>
    <w:basedOn w:val="default"/>
    <w:qFormat/>
    <w:rsid w:val="003A44E3"/>
  </w:style>
  <w:style w:type="paragraph" w:customStyle="1" w:styleId="orange2">
    <w:name w:val="orange2"/>
    <w:basedOn w:val="default"/>
    <w:qFormat/>
    <w:rsid w:val="003A44E3"/>
  </w:style>
  <w:style w:type="paragraph" w:customStyle="1" w:styleId="orange3">
    <w:name w:val="orange3"/>
    <w:basedOn w:val="default"/>
    <w:qFormat/>
    <w:rsid w:val="003A44E3"/>
  </w:style>
  <w:style w:type="paragraph" w:customStyle="1" w:styleId="turquoise1">
    <w:name w:val="turquoise1"/>
    <w:basedOn w:val="default"/>
    <w:qFormat/>
    <w:rsid w:val="003A44E3"/>
  </w:style>
  <w:style w:type="paragraph" w:customStyle="1" w:styleId="turquoise2">
    <w:name w:val="turquoise2"/>
    <w:basedOn w:val="default"/>
    <w:qFormat/>
    <w:rsid w:val="003A44E3"/>
  </w:style>
  <w:style w:type="paragraph" w:customStyle="1" w:styleId="turquoise3">
    <w:name w:val="turquoise3"/>
    <w:basedOn w:val="default"/>
    <w:qFormat/>
    <w:rsid w:val="003A44E3"/>
  </w:style>
  <w:style w:type="paragraph" w:customStyle="1" w:styleId="blue1">
    <w:name w:val="blue1"/>
    <w:basedOn w:val="default"/>
    <w:qFormat/>
    <w:rsid w:val="003A44E3"/>
  </w:style>
  <w:style w:type="paragraph" w:customStyle="1" w:styleId="blue2">
    <w:name w:val="blue2"/>
    <w:basedOn w:val="default"/>
    <w:qFormat/>
    <w:rsid w:val="003A44E3"/>
  </w:style>
  <w:style w:type="paragraph" w:customStyle="1" w:styleId="blue3">
    <w:name w:val="blue3"/>
    <w:basedOn w:val="default"/>
    <w:qFormat/>
    <w:rsid w:val="003A44E3"/>
  </w:style>
  <w:style w:type="paragraph" w:customStyle="1" w:styleId="sun1">
    <w:name w:val="sun1"/>
    <w:basedOn w:val="default"/>
    <w:qFormat/>
    <w:rsid w:val="003A44E3"/>
  </w:style>
  <w:style w:type="paragraph" w:customStyle="1" w:styleId="sun2">
    <w:name w:val="sun2"/>
    <w:basedOn w:val="default"/>
    <w:qFormat/>
    <w:rsid w:val="003A44E3"/>
  </w:style>
  <w:style w:type="paragraph" w:customStyle="1" w:styleId="sun3">
    <w:name w:val="sun3"/>
    <w:basedOn w:val="default"/>
    <w:qFormat/>
    <w:rsid w:val="003A44E3"/>
  </w:style>
  <w:style w:type="paragraph" w:customStyle="1" w:styleId="earth1">
    <w:name w:val="earth1"/>
    <w:basedOn w:val="default"/>
    <w:qFormat/>
    <w:rsid w:val="003A44E3"/>
  </w:style>
  <w:style w:type="paragraph" w:customStyle="1" w:styleId="earth2">
    <w:name w:val="earth2"/>
    <w:basedOn w:val="default"/>
    <w:qFormat/>
    <w:rsid w:val="003A44E3"/>
  </w:style>
  <w:style w:type="paragraph" w:customStyle="1" w:styleId="earth3">
    <w:name w:val="earth3"/>
    <w:basedOn w:val="default"/>
    <w:qFormat/>
    <w:rsid w:val="003A44E3"/>
  </w:style>
  <w:style w:type="paragraph" w:customStyle="1" w:styleId="green1">
    <w:name w:val="green1"/>
    <w:basedOn w:val="default"/>
    <w:qFormat/>
    <w:rsid w:val="003A44E3"/>
  </w:style>
  <w:style w:type="paragraph" w:customStyle="1" w:styleId="green2">
    <w:name w:val="green2"/>
    <w:basedOn w:val="default"/>
    <w:qFormat/>
    <w:rsid w:val="003A44E3"/>
  </w:style>
  <w:style w:type="paragraph" w:customStyle="1" w:styleId="green3">
    <w:name w:val="green3"/>
    <w:basedOn w:val="default"/>
    <w:qFormat/>
    <w:rsid w:val="003A44E3"/>
  </w:style>
  <w:style w:type="paragraph" w:customStyle="1" w:styleId="seetang1">
    <w:name w:val="seetang1"/>
    <w:basedOn w:val="default"/>
    <w:qFormat/>
    <w:rsid w:val="003A44E3"/>
  </w:style>
  <w:style w:type="paragraph" w:customStyle="1" w:styleId="seetang2">
    <w:name w:val="seetang2"/>
    <w:basedOn w:val="default"/>
    <w:qFormat/>
    <w:rsid w:val="003A44E3"/>
  </w:style>
  <w:style w:type="paragraph" w:customStyle="1" w:styleId="seetang3">
    <w:name w:val="seetang3"/>
    <w:basedOn w:val="default"/>
    <w:qFormat/>
    <w:rsid w:val="003A44E3"/>
  </w:style>
  <w:style w:type="paragraph" w:customStyle="1" w:styleId="lightblue1">
    <w:name w:val="lightblue1"/>
    <w:basedOn w:val="default"/>
    <w:qFormat/>
    <w:rsid w:val="003A44E3"/>
  </w:style>
  <w:style w:type="paragraph" w:customStyle="1" w:styleId="lightblue2">
    <w:name w:val="lightblue2"/>
    <w:basedOn w:val="default"/>
    <w:qFormat/>
    <w:rsid w:val="003A44E3"/>
  </w:style>
  <w:style w:type="paragraph" w:customStyle="1" w:styleId="lightblue3">
    <w:name w:val="lightblue3"/>
    <w:basedOn w:val="default"/>
    <w:qFormat/>
    <w:rsid w:val="003A44E3"/>
  </w:style>
  <w:style w:type="paragraph" w:customStyle="1" w:styleId="yellow1">
    <w:name w:val="yellow1"/>
    <w:basedOn w:val="default"/>
    <w:qFormat/>
    <w:rsid w:val="003A44E3"/>
  </w:style>
  <w:style w:type="paragraph" w:customStyle="1" w:styleId="yellow2">
    <w:name w:val="yellow2"/>
    <w:basedOn w:val="default"/>
    <w:qFormat/>
    <w:rsid w:val="003A44E3"/>
  </w:style>
  <w:style w:type="paragraph" w:customStyle="1" w:styleId="yellow3">
    <w:name w:val="yellow3"/>
    <w:basedOn w:val="default"/>
    <w:qFormat/>
    <w:rsid w:val="003A44E3"/>
  </w:style>
  <w:style w:type="paragraph" w:customStyle="1" w:styleId="afb">
    <w:name w:val="Объекты фона"/>
    <w:qFormat/>
    <w:rsid w:val="003A44E3"/>
    <w:rPr>
      <w:rFonts w:ascii="Source Sans Pro Black" w:eastAsia="Tahoma" w:hAnsi="Source Sans Pro Black" w:cs="Noto Sans"/>
      <w:color w:val="FFFFFF"/>
      <w:sz w:val="36"/>
    </w:rPr>
  </w:style>
  <w:style w:type="paragraph" w:customStyle="1" w:styleId="afc">
    <w:name w:val="Фон"/>
    <w:qFormat/>
    <w:rsid w:val="003A44E3"/>
    <w:rPr>
      <w:rFonts w:eastAsia="Tahoma" w:cs="Noto Sans"/>
      <w:sz w:val="24"/>
    </w:rPr>
  </w:style>
  <w:style w:type="paragraph" w:customStyle="1" w:styleId="afd">
    <w:name w:val="Примечания"/>
    <w:qFormat/>
    <w:rsid w:val="003A44E3"/>
    <w:pPr>
      <w:ind w:left="340" w:hanging="340"/>
    </w:pPr>
    <w:rPr>
      <w:rFonts w:ascii="Source Sans Pro" w:eastAsia="Tahoma" w:hAnsi="Source Sans Pro" w:cs="Noto Sans"/>
      <w:sz w:val="56"/>
    </w:rPr>
  </w:style>
  <w:style w:type="paragraph" w:customStyle="1" w:styleId="1">
    <w:name w:val="Структура 1"/>
    <w:qFormat/>
    <w:rsid w:val="003A44E3"/>
    <w:pPr>
      <w:spacing w:after="171"/>
    </w:pPr>
    <w:rPr>
      <w:rFonts w:ascii="Source Sans Pro Semibold" w:eastAsia="Tahoma" w:hAnsi="Source Sans Pro Semibold" w:cs="Noto Sans"/>
      <w:color w:val="1C1C1C"/>
      <w:sz w:val="52"/>
    </w:rPr>
  </w:style>
  <w:style w:type="paragraph" w:customStyle="1" w:styleId="2">
    <w:name w:val="Структура 2"/>
    <w:basedOn w:val="1"/>
    <w:qFormat/>
    <w:rsid w:val="003A44E3"/>
    <w:pPr>
      <w:spacing w:after="170"/>
    </w:pPr>
    <w:rPr>
      <w:rFonts w:ascii="Source Sans Pro Light" w:hAnsi="Source Sans Pro Light"/>
      <w:sz w:val="44"/>
    </w:rPr>
  </w:style>
  <w:style w:type="paragraph" w:customStyle="1" w:styleId="3">
    <w:name w:val="Структура 3"/>
    <w:basedOn w:val="2"/>
    <w:qFormat/>
    <w:rsid w:val="003A44E3"/>
    <w:pPr>
      <w:spacing w:after="127"/>
    </w:pPr>
    <w:rPr>
      <w:sz w:val="36"/>
    </w:rPr>
  </w:style>
  <w:style w:type="paragraph" w:customStyle="1" w:styleId="42">
    <w:name w:val="Структура 4"/>
    <w:basedOn w:val="3"/>
    <w:qFormat/>
    <w:rsid w:val="003A44E3"/>
    <w:pPr>
      <w:spacing w:after="85"/>
    </w:pPr>
    <w:rPr>
      <w:sz w:val="32"/>
    </w:rPr>
  </w:style>
  <w:style w:type="paragraph" w:customStyle="1" w:styleId="5">
    <w:name w:val="Структура 5"/>
    <w:basedOn w:val="42"/>
    <w:qFormat/>
    <w:rsid w:val="003A44E3"/>
    <w:pPr>
      <w:spacing w:after="43"/>
    </w:pPr>
  </w:style>
  <w:style w:type="paragraph" w:customStyle="1" w:styleId="6">
    <w:name w:val="Структура 6"/>
    <w:basedOn w:val="5"/>
    <w:qFormat/>
    <w:rsid w:val="003A44E3"/>
  </w:style>
  <w:style w:type="paragraph" w:customStyle="1" w:styleId="7">
    <w:name w:val="Структура 7"/>
    <w:basedOn w:val="6"/>
    <w:qFormat/>
    <w:rsid w:val="003A44E3"/>
  </w:style>
  <w:style w:type="paragraph" w:customStyle="1" w:styleId="8">
    <w:name w:val="Структура 8"/>
    <w:basedOn w:val="7"/>
    <w:qFormat/>
    <w:rsid w:val="003A44E3"/>
    <w:pPr>
      <w:spacing w:after="42"/>
    </w:pPr>
    <w:rPr>
      <w:sz w:val="28"/>
    </w:rPr>
  </w:style>
  <w:style w:type="paragraph" w:customStyle="1" w:styleId="9">
    <w:name w:val="Структура 9"/>
    <w:basedOn w:val="8"/>
    <w:qFormat/>
    <w:rsid w:val="003A44E3"/>
  </w:style>
  <w:style w:type="paragraph" w:customStyle="1" w:styleId="AlizarinLTGliederung2">
    <w:name w:val="Alizarin~LT~Gliederung 2"/>
    <w:basedOn w:val="AlizarinLTGliederung1"/>
    <w:qFormat/>
    <w:rsid w:val="003A44E3"/>
    <w:pPr>
      <w:spacing w:after="170"/>
    </w:pPr>
    <w:rPr>
      <w:rFonts w:ascii="Source Sans Pro Light" w:hAnsi="Source Sans Pro Light"/>
      <w:sz w:val="44"/>
    </w:rPr>
  </w:style>
  <w:style w:type="paragraph" w:customStyle="1" w:styleId="AlizarinLTGliederung3">
    <w:name w:val="Alizarin~LT~Gliederung 3"/>
    <w:basedOn w:val="AlizarinLTGliederung2"/>
    <w:qFormat/>
    <w:rsid w:val="003A44E3"/>
    <w:pPr>
      <w:spacing w:after="127"/>
    </w:pPr>
    <w:rPr>
      <w:sz w:val="36"/>
    </w:rPr>
  </w:style>
  <w:style w:type="paragraph" w:customStyle="1" w:styleId="AlizarinLTGliederung4">
    <w:name w:val="Alizarin~LT~Gliederung 4"/>
    <w:basedOn w:val="AlizarinLTGliederung3"/>
    <w:qFormat/>
    <w:rsid w:val="003A44E3"/>
    <w:pPr>
      <w:spacing w:after="85"/>
    </w:pPr>
    <w:rPr>
      <w:sz w:val="32"/>
    </w:rPr>
  </w:style>
  <w:style w:type="paragraph" w:customStyle="1" w:styleId="AlizarinLTGliederung5">
    <w:name w:val="Alizarin~LT~Gliederung 5"/>
    <w:basedOn w:val="AlizarinLTGliederung4"/>
    <w:qFormat/>
    <w:rsid w:val="003A44E3"/>
    <w:pPr>
      <w:spacing w:after="43"/>
    </w:pPr>
  </w:style>
  <w:style w:type="paragraph" w:customStyle="1" w:styleId="AlizarinLTGliederung6">
    <w:name w:val="Alizarin~LT~Gliederung 6"/>
    <w:basedOn w:val="AlizarinLTGliederung5"/>
    <w:qFormat/>
    <w:rsid w:val="003A44E3"/>
  </w:style>
  <w:style w:type="paragraph" w:customStyle="1" w:styleId="AlizarinLTGliederung7">
    <w:name w:val="Alizarin~LT~Gliederung 7"/>
    <w:basedOn w:val="AlizarinLTGliederung6"/>
    <w:qFormat/>
    <w:rsid w:val="003A44E3"/>
  </w:style>
  <w:style w:type="paragraph" w:customStyle="1" w:styleId="AlizarinLTGliederung8">
    <w:name w:val="Alizarin~LT~Gliederung 8"/>
    <w:basedOn w:val="AlizarinLTGliederung7"/>
    <w:qFormat/>
    <w:rsid w:val="003A44E3"/>
    <w:pPr>
      <w:spacing w:after="42"/>
    </w:pPr>
    <w:rPr>
      <w:sz w:val="28"/>
    </w:rPr>
  </w:style>
  <w:style w:type="paragraph" w:customStyle="1" w:styleId="AlizarinLTGliederung9">
    <w:name w:val="Alizarin~LT~Gliederung 9"/>
    <w:basedOn w:val="AlizarinLTGliederung8"/>
    <w:qFormat/>
    <w:rsid w:val="003A44E3"/>
  </w:style>
  <w:style w:type="paragraph" w:customStyle="1" w:styleId="AlizarinLTTitel">
    <w:name w:val="Alizarin~LT~Titel"/>
    <w:qFormat/>
    <w:rsid w:val="003A44E3"/>
    <w:rPr>
      <w:rFonts w:ascii="Source Sans Pro Black" w:eastAsia="Tahoma" w:hAnsi="Source Sans Pro Black" w:cs="Noto Sans"/>
      <w:color w:val="FFFFFF"/>
      <w:sz w:val="64"/>
    </w:rPr>
  </w:style>
  <w:style w:type="paragraph" w:customStyle="1" w:styleId="AlizarinLTUntertitel">
    <w:name w:val="Alizarin~LT~Untertitel"/>
    <w:qFormat/>
    <w:rsid w:val="003A44E3"/>
    <w:rPr>
      <w:rFonts w:ascii="Source Sans Pro Light" w:eastAsia="Tahoma" w:hAnsi="Source Sans Pro Light" w:cs="Noto Sans"/>
      <w:color w:val="1C1C1C"/>
      <w:sz w:val="52"/>
    </w:rPr>
  </w:style>
  <w:style w:type="paragraph" w:customStyle="1" w:styleId="AlizarinLTNotizen">
    <w:name w:val="Alizarin~LT~Notizen"/>
    <w:qFormat/>
    <w:rsid w:val="003A44E3"/>
    <w:pPr>
      <w:ind w:left="340" w:hanging="340"/>
    </w:pPr>
    <w:rPr>
      <w:rFonts w:ascii="Source Sans Pro" w:eastAsia="Tahoma" w:hAnsi="Source Sans Pro" w:cs="Noto Sans"/>
      <w:sz w:val="56"/>
    </w:rPr>
  </w:style>
  <w:style w:type="paragraph" w:customStyle="1" w:styleId="AlizarinLTHintergrundobjekte">
    <w:name w:val="Alizarin~LT~Hintergrundobjekte"/>
    <w:qFormat/>
    <w:rsid w:val="003A44E3"/>
    <w:rPr>
      <w:rFonts w:ascii="Source Sans Pro Black" w:eastAsia="Tahoma" w:hAnsi="Source Sans Pro Black" w:cs="Noto Sans"/>
      <w:color w:val="FFFFFF"/>
      <w:sz w:val="36"/>
    </w:rPr>
  </w:style>
  <w:style w:type="paragraph" w:customStyle="1" w:styleId="AlizarinLTHintergrund">
    <w:name w:val="Alizarin~LT~Hintergrund"/>
    <w:qFormat/>
    <w:rsid w:val="003A44E3"/>
    <w:rPr>
      <w:rFonts w:eastAsia="Tahoma" w:cs="Noto Sans"/>
      <w:sz w:val="24"/>
    </w:rPr>
  </w:style>
  <w:style w:type="paragraph" w:customStyle="1" w:styleId="AlizarinLTGliederung20">
    <w:name w:val="Alizarin_~LT~Gliederung 2"/>
    <w:basedOn w:val="AlizarinLTGliederung10"/>
    <w:qFormat/>
    <w:rsid w:val="003A44E3"/>
    <w:pPr>
      <w:spacing w:after="170"/>
    </w:pPr>
    <w:rPr>
      <w:rFonts w:ascii="Source Sans Pro Light" w:hAnsi="Source Sans Pro Light"/>
      <w:sz w:val="44"/>
    </w:rPr>
  </w:style>
  <w:style w:type="paragraph" w:customStyle="1" w:styleId="AlizarinLTGliederung30">
    <w:name w:val="Alizarin_~LT~Gliederung 3"/>
    <w:basedOn w:val="AlizarinLTGliederung20"/>
    <w:qFormat/>
    <w:rsid w:val="003A44E3"/>
    <w:pPr>
      <w:spacing w:after="127"/>
    </w:pPr>
    <w:rPr>
      <w:sz w:val="36"/>
    </w:rPr>
  </w:style>
  <w:style w:type="paragraph" w:customStyle="1" w:styleId="AlizarinLTGliederung40">
    <w:name w:val="Alizarin_~LT~Gliederung 4"/>
    <w:basedOn w:val="AlizarinLTGliederung30"/>
    <w:qFormat/>
    <w:rsid w:val="003A44E3"/>
    <w:pPr>
      <w:spacing w:after="85"/>
    </w:pPr>
    <w:rPr>
      <w:sz w:val="32"/>
    </w:rPr>
  </w:style>
  <w:style w:type="paragraph" w:customStyle="1" w:styleId="AlizarinLTGliederung50">
    <w:name w:val="Alizarin_~LT~Gliederung 5"/>
    <w:basedOn w:val="AlizarinLTGliederung40"/>
    <w:qFormat/>
    <w:rsid w:val="003A44E3"/>
    <w:pPr>
      <w:spacing w:after="43"/>
    </w:pPr>
  </w:style>
  <w:style w:type="paragraph" w:customStyle="1" w:styleId="AlizarinLTGliederung60">
    <w:name w:val="Alizarin_~LT~Gliederung 6"/>
    <w:basedOn w:val="AlizarinLTGliederung50"/>
    <w:qFormat/>
    <w:rsid w:val="003A44E3"/>
  </w:style>
  <w:style w:type="paragraph" w:customStyle="1" w:styleId="AlizarinLTGliederung70">
    <w:name w:val="Alizarin_~LT~Gliederung 7"/>
    <w:basedOn w:val="AlizarinLTGliederung60"/>
    <w:qFormat/>
    <w:rsid w:val="003A44E3"/>
  </w:style>
  <w:style w:type="paragraph" w:customStyle="1" w:styleId="AlizarinLTGliederung80">
    <w:name w:val="Alizarin_~LT~Gliederung 8"/>
    <w:basedOn w:val="AlizarinLTGliederung70"/>
    <w:qFormat/>
    <w:rsid w:val="003A44E3"/>
    <w:pPr>
      <w:spacing w:after="42"/>
    </w:pPr>
    <w:rPr>
      <w:sz w:val="28"/>
    </w:rPr>
  </w:style>
  <w:style w:type="paragraph" w:customStyle="1" w:styleId="AlizarinLTGliederung90">
    <w:name w:val="Alizarin_~LT~Gliederung 9"/>
    <w:basedOn w:val="AlizarinLTGliederung80"/>
    <w:qFormat/>
    <w:rsid w:val="003A44E3"/>
  </w:style>
  <w:style w:type="paragraph" w:customStyle="1" w:styleId="AlizarinLTTitel0">
    <w:name w:val="Alizarin_~LT~Titel"/>
    <w:qFormat/>
    <w:rsid w:val="003A44E3"/>
    <w:rPr>
      <w:rFonts w:ascii="Source Sans Pro Black" w:eastAsia="Tahoma" w:hAnsi="Source Sans Pro Black" w:cs="Noto Sans"/>
      <w:color w:val="FFFFFF"/>
      <w:sz w:val="64"/>
    </w:rPr>
  </w:style>
  <w:style w:type="paragraph" w:customStyle="1" w:styleId="AlizarinLTUntertitel0">
    <w:name w:val="Alizarin_~LT~Untertitel"/>
    <w:qFormat/>
    <w:rsid w:val="003A44E3"/>
    <w:rPr>
      <w:rFonts w:ascii="Source Sans Pro Light" w:eastAsia="Tahoma" w:hAnsi="Source Sans Pro Light" w:cs="Noto Sans"/>
      <w:color w:val="1C1C1C"/>
      <w:sz w:val="52"/>
    </w:rPr>
  </w:style>
  <w:style w:type="paragraph" w:customStyle="1" w:styleId="AlizarinLTNotizen0">
    <w:name w:val="Alizarin_~LT~Notizen"/>
    <w:qFormat/>
    <w:rsid w:val="003A44E3"/>
    <w:pPr>
      <w:ind w:left="340" w:hanging="340"/>
    </w:pPr>
    <w:rPr>
      <w:rFonts w:ascii="Source Sans Pro" w:eastAsia="Tahoma" w:hAnsi="Source Sans Pro" w:cs="Noto Sans"/>
      <w:sz w:val="56"/>
    </w:rPr>
  </w:style>
  <w:style w:type="paragraph" w:customStyle="1" w:styleId="AlizarinLTHintergrundobjekte0">
    <w:name w:val="Alizarin_~LT~Hintergrundobjekte"/>
    <w:qFormat/>
    <w:rsid w:val="003A44E3"/>
    <w:rPr>
      <w:rFonts w:ascii="Source Sans Pro Black" w:eastAsia="Tahoma" w:hAnsi="Source Sans Pro Black" w:cs="Noto Sans"/>
      <w:color w:val="FFFFFF"/>
      <w:sz w:val="36"/>
    </w:rPr>
  </w:style>
  <w:style w:type="paragraph" w:customStyle="1" w:styleId="AlizarinLTHintergrund0">
    <w:name w:val="Alizarin_~LT~Hintergrund"/>
    <w:qFormat/>
    <w:rsid w:val="003A44E3"/>
    <w:rPr>
      <w:rFonts w:eastAsia="Tahoma" w:cs="Noto Sans"/>
      <w:sz w:val="24"/>
    </w:rPr>
  </w:style>
  <w:style w:type="paragraph" w:customStyle="1" w:styleId="AlizarinLTGliederung21">
    <w:name w:val="Alizarin__~LT~Gliederung 2"/>
    <w:basedOn w:val="AlizarinLTGliederung11"/>
    <w:qFormat/>
    <w:rsid w:val="003A44E3"/>
    <w:pPr>
      <w:spacing w:after="170"/>
    </w:pPr>
    <w:rPr>
      <w:rFonts w:ascii="Source Sans Pro Light" w:hAnsi="Source Sans Pro Light"/>
      <w:sz w:val="44"/>
    </w:rPr>
  </w:style>
  <w:style w:type="paragraph" w:customStyle="1" w:styleId="AlizarinLTGliederung31">
    <w:name w:val="Alizarin__~LT~Gliederung 3"/>
    <w:basedOn w:val="AlizarinLTGliederung21"/>
    <w:qFormat/>
    <w:rsid w:val="003A44E3"/>
    <w:pPr>
      <w:spacing w:after="127"/>
    </w:pPr>
    <w:rPr>
      <w:sz w:val="36"/>
    </w:rPr>
  </w:style>
  <w:style w:type="paragraph" w:customStyle="1" w:styleId="AlizarinLTGliederung41">
    <w:name w:val="Alizarin__~LT~Gliederung 4"/>
    <w:basedOn w:val="AlizarinLTGliederung31"/>
    <w:qFormat/>
    <w:rsid w:val="003A44E3"/>
    <w:pPr>
      <w:spacing w:after="85"/>
    </w:pPr>
    <w:rPr>
      <w:sz w:val="32"/>
    </w:rPr>
  </w:style>
  <w:style w:type="paragraph" w:customStyle="1" w:styleId="AlizarinLTGliederung51">
    <w:name w:val="Alizarin__~LT~Gliederung 5"/>
    <w:basedOn w:val="AlizarinLTGliederung41"/>
    <w:qFormat/>
    <w:rsid w:val="003A44E3"/>
    <w:pPr>
      <w:spacing w:after="43"/>
    </w:pPr>
  </w:style>
  <w:style w:type="paragraph" w:customStyle="1" w:styleId="AlizarinLTGliederung61">
    <w:name w:val="Alizarin__~LT~Gliederung 6"/>
    <w:basedOn w:val="AlizarinLTGliederung51"/>
    <w:qFormat/>
    <w:rsid w:val="003A44E3"/>
  </w:style>
  <w:style w:type="paragraph" w:customStyle="1" w:styleId="AlizarinLTGliederung71">
    <w:name w:val="Alizarin__~LT~Gliederung 7"/>
    <w:basedOn w:val="AlizarinLTGliederung61"/>
    <w:qFormat/>
    <w:rsid w:val="003A44E3"/>
  </w:style>
  <w:style w:type="paragraph" w:customStyle="1" w:styleId="AlizarinLTGliederung81">
    <w:name w:val="Alizarin__~LT~Gliederung 8"/>
    <w:basedOn w:val="AlizarinLTGliederung71"/>
    <w:qFormat/>
    <w:rsid w:val="003A44E3"/>
    <w:pPr>
      <w:spacing w:after="42"/>
    </w:pPr>
    <w:rPr>
      <w:sz w:val="28"/>
    </w:rPr>
  </w:style>
  <w:style w:type="paragraph" w:customStyle="1" w:styleId="AlizarinLTGliederung91">
    <w:name w:val="Alizarin__~LT~Gliederung 9"/>
    <w:basedOn w:val="AlizarinLTGliederung81"/>
    <w:qFormat/>
    <w:rsid w:val="003A44E3"/>
  </w:style>
  <w:style w:type="paragraph" w:customStyle="1" w:styleId="AlizarinLTTitel1">
    <w:name w:val="Alizarin__~LT~Titel"/>
    <w:qFormat/>
    <w:rsid w:val="003A44E3"/>
    <w:rPr>
      <w:rFonts w:ascii="Source Sans Pro Black" w:eastAsia="Tahoma" w:hAnsi="Source Sans Pro Black" w:cs="Noto Sans"/>
      <w:color w:val="FFFFFF"/>
      <w:sz w:val="64"/>
    </w:rPr>
  </w:style>
  <w:style w:type="paragraph" w:customStyle="1" w:styleId="AlizarinLTUntertitel1">
    <w:name w:val="Alizarin__~LT~Untertitel"/>
    <w:qFormat/>
    <w:rsid w:val="003A44E3"/>
    <w:rPr>
      <w:rFonts w:ascii="Source Sans Pro Light" w:eastAsia="Tahoma" w:hAnsi="Source Sans Pro Light" w:cs="Noto Sans"/>
      <w:color w:val="1C1C1C"/>
      <w:sz w:val="52"/>
    </w:rPr>
  </w:style>
  <w:style w:type="paragraph" w:customStyle="1" w:styleId="AlizarinLTNotizen1">
    <w:name w:val="Alizarin__~LT~Notizen"/>
    <w:qFormat/>
    <w:rsid w:val="003A44E3"/>
    <w:pPr>
      <w:ind w:left="340" w:hanging="340"/>
    </w:pPr>
    <w:rPr>
      <w:rFonts w:ascii="Source Sans Pro" w:eastAsia="Tahoma" w:hAnsi="Source Sans Pro" w:cs="Noto Sans"/>
      <w:sz w:val="56"/>
    </w:rPr>
  </w:style>
  <w:style w:type="paragraph" w:customStyle="1" w:styleId="AlizarinLTHintergrundobjekte1">
    <w:name w:val="Alizarin__~LT~Hintergrundobjekte"/>
    <w:qFormat/>
    <w:rsid w:val="003A44E3"/>
    <w:rPr>
      <w:rFonts w:ascii="Source Sans Pro Black" w:eastAsia="Tahoma" w:hAnsi="Source Sans Pro Black" w:cs="Noto Sans"/>
      <w:color w:val="FFFFFF"/>
      <w:sz w:val="36"/>
    </w:rPr>
  </w:style>
  <w:style w:type="paragraph" w:customStyle="1" w:styleId="AlizarinLTHintergrund1">
    <w:name w:val="Alizarin__~LT~Hintergrund"/>
    <w:qFormat/>
    <w:rsid w:val="003A44E3"/>
    <w:rPr>
      <w:rFonts w:eastAsia="Tahoma" w:cs="Noto Sans"/>
      <w:sz w:val="24"/>
    </w:rPr>
  </w:style>
  <w:style w:type="paragraph" w:customStyle="1" w:styleId="afe">
    <w:name w:val="Верхний и нижний колонтитулы"/>
    <w:basedOn w:val="a"/>
    <w:qFormat/>
    <w:rsid w:val="003A44E3"/>
    <w:pPr>
      <w:suppressLineNumbers/>
      <w:tabs>
        <w:tab w:val="center" w:pos="4819"/>
        <w:tab w:val="right" w:pos="9638"/>
      </w:tabs>
    </w:pPr>
  </w:style>
  <w:style w:type="paragraph" w:customStyle="1" w:styleId="Footer">
    <w:name w:val="Footer"/>
    <w:basedOn w:val="afe"/>
    <w:rsid w:val="003A44E3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22</Pages>
  <Words>3634</Words>
  <Characters>20718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Вера</cp:lastModifiedBy>
  <cp:revision>19</cp:revision>
  <dcterms:created xsi:type="dcterms:W3CDTF">2023-02-04T01:10:00Z</dcterms:created>
  <dcterms:modified xsi:type="dcterms:W3CDTF">2023-10-13T08:46:00Z</dcterms:modified>
  <dc:language>ru-RU</dc:language>
</cp:coreProperties>
</file>