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3229" w:rsidRPr="00480D13" w:rsidRDefault="00744091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Федеральный заочный этап всероссийского конкурса </w:t>
      </w:r>
      <w:r w:rsidR="00480D13" w:rsidRPr="00480D13">
        <w:rPr>
          <w:rFonts w:ascii="Times New Roman" w:eastAsia="Times New Roman" w:hAnsi="Times New Roman" w:cs="Times New Roman"/>
          <w:sz w:val="28"/>
          <w:szCs w:val="28"/>
        </w:rPr>
        <w:t xml:space="preserve">юных исследователей окружающей среды имени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В. Б. Всесвятского</w:t>
      </w:r>
    </w:p>
    <w:p w:rsidR="00EE3229" w:rsidRPr="00480D13" w:rsidRDefault="00480D13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  <w:lang w:val="ru-RU"/>
        </w:rPr>
        <w:t>Номинация «Ботаника и экология растений»</w:t>
      </w:r>
    </w:p>
    <w:p w:rsidR="00EE3229" w:rsidRPr="00480D13" w:rsidRDefault="00EE3229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EE3229">
      <w:pPr>
        <w:spacing w:after="16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EE3229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ОПТИМИЗАЦИЯ МЕТОДА ОПРЕДЕЛЕНИЯ СОДЕРЖАНИЯ ЙОДА В БУРЫХ ВОДОРОСЛЯХ АРКТИЧЕСКОГО РЕГИОНА РОССИИ</w:t>
      </w:r>
    </w:p>
    <w:p w:rsidR="00EE3229" w:rsidRPr="00480D13" w:rsidRDefault="00EE3229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EE3229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0D13" w:rsidRPr="00480D13" w:rsidRDefault="00480D13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0D13" w:rsidRPr="00480D13" w:rsidRDefault="00480D13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EE3229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Автор:</w:t>
      </w:r>
    </w:p>
    <w:p w:rsidR="00480D13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Мельников Эрнест Викторович</w:t>
      </w:r>
      <w:r w:rsidR="00480D13" w:rsidRPr="00480D13"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</w:p>
    <w:p w:rsidR="00EE3229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Россия, Мурманская область, г. Мурманск, Гимназия №3, класс 10 «Б»</w:t>
      </w:r>
    </w:p>
    <w:p w:rsidR="00EE3229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ГАНОУ МО «ЦО «Лапландия», Детский технопарк «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Кванториум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EE3229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Биоквантум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. Проектная группа</w:t>
      </w:r>
    </w:p>
    <w:p w:rsidR="00EE3229" w:rsidRPr="00480D13" w:rsidRDefault="00EE3229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Научный руководитель:</w:t>
      </w:r>
    </w:p>
    <w:p w:rsidR="00480D13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Соколан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Нина Ивановна, </w:t>
      </w:r>
    </w:p>
    <w:p w:rsidR="00EE3229" w:rsidRPr="00480D13" w:rsidRDefault="00744091" w:rsidP="00480D13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педагог наставник детского технопарка «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Кванториум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480D13" w:rsidRPr="00480D13" w:rsidRDefault="00480D13" w:rsidP="00480D13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80D13" w:rsidRDefault="00480D13" w:rsidP="00480D13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80D13" w:rsidRPr="00480D13" w:rsidRDefault="00480D13" w:rsidP="00480D13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80D13" w:rsidRPr="00480D13" w:rsidRDefault="00480D13" w:rsidP="00480D13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Мурманск</w:t>
      </w:r>
    </w:p>
    <w:p w:rsidR="00480D13" w:rsidRDefault="00480D13" w:rsidP="00480D13">
      <w:pPr>
        <w:spacing w:after="16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  <w:lang w:val="ru-RU"/>
        </w:rPr>
        <w:t>2025 г</w:t>
      </w: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sdt>
      <w:sdtPr>
        <w:id w:val="-663078137"/>
        <w:docPartObj>
          <w:docPartGallery w:val="Table of Contents"/>
          <w:docPartUnique/>
        </w:docPartObj>
      </w:sdtPr>
      <w:sdtEndPr>
        <w:rPr>
          <w:rFonts w:ascii="Arial" w:eastAsia="Arial" w:hAnsi="Arial" w:cs="Arial"/>
          <w:b/>
          <w:bCs/>
          <w:color w:val="auto"/>
          <w:sz w:val="22"/>
          <w:szCs w:val="22"/>
          <w:lang w:val="ru"/>
        </w:rPr>
      </w:sdtEndPr>
      <w:sdtContent>
        <w:p w:rsidR="00744091" w:rsidRDefault="00744091" w:rsidP="00744091">
          <w:pPr>
            <w:pStyle w:val="af6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744091">
            <w:rPr>
              <w:rFonts w:ascii="Times New Roman" w:hAnsi="Times New Roman" w:cs="Times New Roman"/>
              <w:color w:val="auto"/>
              <w:sz w:val="28"/>
              <w:szCs w:val="28"/>
            </w:rPr>
            <w:t>Оглавление</w:t>
          </w:r>
        </w:p>
        <w:p w:rsidR="00744091" w:rsidRPr="00744091" w:rsidRDefault="00744091" w:rsidP="00744091">
          <w:pPr>
            <w:rPr>
              <w:lang w:val="ru-RU"/>
            </w:rPr>
          </w:pPr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r w:rsidRPr="00744091">
            <w:rPr>
              <w:rFonts w:ascii="Times New Roman" w:hAnsi="Times New Roman"/>
              <w:sz w:val="28"/>
              <w:szCs w:val="28"/>
            </w:rPr>
            <w:fldChar w:fldCharType="begin"/>
          </w:r>
          <w:r w:rsidRPr="00744091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744091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187836720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Введение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_Toc187836720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187836721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Литературный обзор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_Toc187836721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187836722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Материалы и методы исследования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_Toc187836722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4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187836723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Результаты и обсуждения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_Toc187836723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7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187836724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Выводы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_Toc187836724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8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187836725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Заключение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_Toc187836725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9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187836726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Список литературы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_Toc187836726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10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Pr="00744091" w:rsidRDefault="00744091">
          <w:pPr>
            <w:pStyle w:val="10"/>
            <w:tabs>
              <w:tab w:val="right" w:leader="dot" w:pos="9631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187836727" w:history="1">
            <w:r w:rsidRPr="00744091">
              <w:rPr>
                <w:rStyle w:val="af7"/>
                <w:rFonts w:ascii="Times New Roman" w:eastAsia="Times New Roman" w:hAnsi="Times New Roman"/>
                <w:noProof/>
                <w:sz w:val="28"/>
                <w:szCs w:val="28"/>
              </w:rPr>
              <w:t>Приложение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_Toc187836727 \h </w:instrTex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  <w:sz w:val="28"/>
                <w:szCs w:val="28"/>
              </w:rPr>
              <w:t>11</w:t>
            </w:r>
            <w:r w:rsidRPr="00744091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44091" w:rsidRDefault="00744091">
          <w:r w:rsidRPr="00744091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744091" w:rsidRDefault="00744091" w:rsidP="00480D13">
      <w:pPr>
        <w:widowControl w:val="0"/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44091" w:rsidRDefault="00744091" w:rsidP="00480D13">
      <w:pPr>
        <w:widowControl w:val="0"/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bookmarkStart w:id="0" w:name="_GoBack"/>
      <w:bookmarkEnd w:id="0"/>
    </w:p>
    <w:p w:rsidR="00EE3229" w:rsidRPr="00480D13" w:rsidRDefault="00744091" w:rsidP="00744091">
      <w:pPr>
        <w:pStyle w:val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" w:name="_Toc187836720"/>
      <w:r w:rsidRPr="00480D1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Введение</w:t>
      </w:r>
      <w:bookmarkEnd w:id="1"/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Актуальной задачей для Арктического бассейна является рациональное использование его сырьевой базы, включающее переработку морских водорослей. Разработка и организация производства пищевых продуктов, содержащих высокое количество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эссенциальных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нутриентов,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является эффективным и доступным путем ликвидации существующего в настоящее время дефицита незаменимых пищевых веществ, особенно для населения, проживающего в Арктическом регионе. Однако для расчёта рецептуры пищевой продукции, обогащенной йодом за счет ис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пользования водорослей, необходимо знать содержание в них йода.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Узким местом всех методик по определению йода в водорослях является процесс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пробоподготовки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) водоросли, при котором можно потерять значительное количество йода. Поэтому методика треб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ует тщательной доработки применительно к используемому оборудованию для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и приборам, применяемым </w:t>
      </w:r>
      <w:proofErr w:type="gramStart"/>
      <w:r w:rsidRPr="00480D13">
        <w:rPr>
          <w:rFonts w:ascii="Times New Roman" w:eastAsia="Times New Roman" w:hAnsi="Times New Roman" w:cs="Times New Roman"/>
          <w:sz w:val="28"/>
          <w:szCs w:val="28"/>
        </w:rPr>
        <w:t>для экспресс</w:t>
      </w:r>
      <w:proofErr w:type="gram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анализа.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Подводя итог вышесказанному, целями нашего исследования являются оптимизация процесса минерализации пробы и сравнительный анализ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содержания йода в бурых водорослях при разных способах сушки.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Чтобы достичь описанные цели, мы поставили перед собой следующие задачи: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- выбор методики определения йода в бурых водорослях;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- оптимизация процесса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(минерализации) водорослей для д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альнейшего определения содержания йода;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- определение содержания йода в бурых водорослях Баренцева моря (сырьё – фукус пузырчатый и ламинария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пальчаторассеченная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) при различных методах сушки;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- обработка данных, сравнительный анализ и обоснование метода с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ушки и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исследуемых водорослей.</w:t>
      </w:r>
    </w:p>
    <w:p w:rsidR="00EE3229" w:rsidRPr="00480D13" w:rsidRDefault="00744091" w:rsidP="00744091">
      <w:pPr>
        <w:pStyle w:val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2" w:name="_Toc187836721"/>
      <w:r w:rsidRPr="00480D13">
        <w:rPr>
          <w:rFonts w:ascii="Times New Roman" w:eastAsia="Times New Roman" w:hAnsi="Times New Roman" w:cs="Times New Roman"/>
          <w:b/>
          <w:sz w:val="28"/>
          <w:szCs w:val="28"/>
        </w:rPr>
        <w:t>Литературный обзор</w:t>
      </w:r>
      <w:bookmarkEnd w:id="2"/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Арктический бассейн чрезвычайно богат различными природными ресурсами: согласно </w:t>
      </w:r>
      <w:proofErr w:type="gramStart"/>
      <w:r w:rsidRPr="00480D13">
        <w:rPr>
          <w:rFonts w:ascii="Times New Roman" w:eastAsia="Times New Roman" w:hAnsi="Times New Roman" w:cs="Times New Roman"/>
          <w:sz w:val="28"/>
          <w:szCs w:val="28"/>
        </w:rPr>
        <w:t>исследованию журнала</w:t>
      </w:r>
      <w:proofErr w:type="gram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Science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от 2009 года в Арктике находится около 13% н</w:t>
      </w:r>
      <w:r w:rsidRPr="00480D1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еразведанных мировых запасов нефти и 30% — природного газа, многочисленные месторождения дефицитных в России руд, а также многообразие биоресурсов [1]. 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Одним из таких биоресурсов являются водоросли.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Морские бурые водоросли продуцируют большое количество р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азличных химических соединений, обладающих выраженным биологическим и фармакологическим действием в отношении различных тканей, органов систем и функций животных организмов.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Выявлено, что в составе морских бурых водорослей находятся элементы, которые имеют</w:t>
      </w:r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ся в тканях и крови человека, а также в морской воде. Вследствие этого водоросли способны возмещать нехватку элементов и содействовать </w:t>
      </w:r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нормализации обмена веществ [</w:t>
      </w:r>
      <w:proofErr w:type="gramStart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2,С.</w:t>
      </w:r>
      <w:proofErr w:type="gramEnd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1-2]. Препараты на основе морских водорослей широко используются в лечебно-профилактичес</w:t>
      </w:r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кой практике.  Ниже перечислены некоторые из таких компонентов и их воздействие на организм.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Альгиновая</w:t>
      </w:r>
      <w:proofErr w:type="spellEnd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кислота морских водорослей характеризуется способностью к восстановлению иммунной системы и увеличению устойчивости организма человека к инфекциям [</w:t>
      </w:r>
      <w:proofErr w:type="gramStart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2,С.</w:t>
      </w:r>
      <w:proofErr w:type="gramEnd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3-4]. Биологически активные добавки, в составе которых имеются соли </w:t>
      </w:r>
      <w:proofErr w:type="spellStart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альгиновой</w:t>
      </w:r>
      <w:proofErr w:type="spellEnd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кислоты, незаменимы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при лечении желудочно-кишечных заболеваний [</w:t>
      </w:r>
      <w:proofErr w:type="gram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3,С.</w:t>
      </w:r>
      <w:proofErr w:type="gram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157]</w:t>
      </w:r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Не менее интересны сульфатированные полисахариды, в состав которых входят </w:t>
      </w:r>
      <w:proofErr w:type="spellStart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>фукоиданы</w:t>
      </w:r>
      <w:proofErr w:type="spellEnd"/>
      <w:r w:rsidRPr="00480D1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Фукоиданы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проявля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ют чрезвычайно широкий спектр биологических активностей. Так, в литературе имеются сообщения о противоопухолевых [4], иммуномодулирующих [5], антибактериальных [6], антивирусных [7], противовоспалительных и других свойствах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фукоиданов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Фукоидан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является мо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щным природным антиоксидантом и защищает клетки от повреждения свободными радикалами.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ходе одного исследования выявлено, что </w:t>
      </w:r>
      <w:proofErr w:type="spellStart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фукоидан</w:t>
      </w:r>
      <w:proofErr w:type="spellEnd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фукуса пузырчатого </w:t>
      </w:r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</w:t>
      </w:r>
      <w:proofErr w:type="spellStart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Fucus</w:t>
      </w:r>
      <w:proofErr w:type="spellEnd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vesiculosus</w:t>
      </w:r>
      <w:proofErr w:type="spellEnd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) </w:t>
      </w: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может предотвращать гибель холинергических нейронов при </w:t>
      </w:r>
      <w:proofErr w:type="spellStart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нейродегенеративных</w:t>
      </w:r>
      <w:proofErr w:type="spellEnd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заболеваниях. Значит, сульфатированные полисахариды могут оказывать </w:t>
      </w:r>
      <w:proofErr w:type="spellStart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нейрозащитное</w:t>
      </w:r>
      <w:proofErr w:type="spellEnd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действие [8].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Главной же особенностью клеток морских бурых водорослей является способность накапли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вать йод.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Сырьем для промышленного получения йода в России служат нефтяные буровые воды [9], тогда как в зарубежных странах, не обладающих нефтяными месторождениями, используются морские водоросли, а также маточные растворы чилийской селитры, щёлок калийны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х и селитряных производств.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Содержание йода, представленного в виде йодидов и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йодатов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, может достигать от 0,03% до 0,3% от сырой массы водорослей. В Арктическом бассейне содержание бурых водорослей составляет в среднем 8-10 кг биомассы на квадратный метр,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что делает их достаточно доступным альтернативным источником йода. 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Однако, прежде чем промышленно использовать водорослевое сырьё, следует установить количество йода в образцах данного сырья. Поэтому, наш проект направлен на оптимизацию методики определен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ия йода в водорослях.</w:t>
      </w:r>
    </w:p>
    <w:p w:rsidR="00EE3229" w:rsidRPr="00480D13" w:rsidRDefault="00744091" w:rsidP="00744091">
      <w:pPr>
        <w:pStyle w:val="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" w:name="_Toc187836722"/>
      <w:r w:rsidRPr="00480D1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Материалы и методы исследования</w:t>
      </w:r>
      <w:bookmarkEnd w:id="3"/>
    </w:p>
    <w:p w:rsidR="00EE3229" w:rsidRPr="00480D13" w:rsidRDefault="00744091" w:rsidP="00480D13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Предмет исследования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Йод, наш предмет исследования, относится к числу микроэлементов, образующих биологически активные соединения, которые имеют большое значение для жизни и здоровья человека. Он участвует в функционировании щитовидной железы, обеспечивая образование гормонов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(тироксина и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трийодтиронина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). Йод улучшает ассимиляцию белка, усвоение фосфора, кальция и железа, активирует ряд ферментов. Под влиянием йода уменьшается вязкость крови, понижаются тонус сосудов. Йод, находящийся в комплексе с аминокислотами, эффективно ус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ваивается организмом. Наличие большого количества легкоусвояемого йода в водорослях (в норме превышающие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суточную), позволяет использовать их как добавку функционального назначения в различных пищевых продуктах, с целью профилактики недостатка потребности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в организме человека йода. </w:t>
      </w:r>
    </w:p>
    <w:p w:rsidR="00EE3229" w:rsidRPr="00480D13" w:rsidRDefault="00744091" w:rsidP="00480D13">
      <w:pPr>
        <w:widowControl w:val="0"/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Объект исследования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На побережье Баренцева моря наиболее распространенными являются бурые водоросли порядков фукусовых и ламинариевых. Запасы ламинариевых водорослей В Баренцевом море достигают 200-300 тысяч тонн; запасы фукусов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ых — 200-250 тысяч тонн.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Строение ламинарии представляет собой слоевище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в виде пластинки, ровной или морщинистой, цельной или рассечённой, без отверстий, длиной от нескольких десятков сантиметров до 20 м, бурой окраски. Стволик неразветвленный, прикрепляется ризоидами или дисковидной подошвой. Ламинария сахаристая 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(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Laminaria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saccharina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)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и ламинария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пальчаторассеченная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(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Laminaria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digitata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)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используются в пищу, известны в народе под названием «морская капуста» (Приложение 1, Рис.1). 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Строение фукуса представлено многолетним слоевищем с неправильным или дисковидным </w:t>
      </w:r>
      <w:proofErr w:type="gram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креплением</w:t>
      </w:r>
      <w:proofErr w:type="gram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или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с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гаптерой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Прямая часть слоевища дихотомическая или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субперисто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-разветвленная, уплощенная, с четким срединным ребром. Газонаполненные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пневматоцисты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у некоторых видов располагаются парами, по одному с каждой стороны срединного кольца. Кроме вышеописанного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ряда функций, типичных для большинства бурых водорослей, фукус идеален для изучения размножения, репродуктивной изоляции и генов видообразования, поскольку род состоит из двух линий, как с гермафродитным, так и с двудомным видом [</w:t>
      </w:r>
      <w:proofErr w:type="gram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10,С.</w:t>
      </w:r>
      <w:proofErr w:type="gram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1-48] (Приложение 1,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Рис.2).</w:t>
      </w:r>
    </w:p>
    <w:p w:rsidR="00EE3229" w:rsidRPr="00480D13" w:rsidRDefault="00744091" w:rsidP="00480D13">
      <w:pPr>
        <w:widowControl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Объектом нашего исследования являлись ламинария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пальчаторассеченная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(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Laminaria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digitata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)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и фукус пузырчатый 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(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Fucus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vesiculosus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 xml:space="preserve">),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произрастающие на побережье Баренцева моря в губе Большой Волоковой (ламинария) и в районе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Зубовки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Печенгского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района (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фукус) весной и летом 2024 года. Данные образцы были высушены методом конвективной сушки в камерах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при температуре воздуха (20±1)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, относительной влажности воздуха 35 %, скорости потока воздуха</w:t>
      </w:r>
      <w:r w:rsidRPr="00480D13">
        <w:rPr>
          <w:rFonts w:ascii="Times New Roman" w:eastAsia="Times New Roman" w:hAnsi="Times New Roman" w:cs="Times New Roman"/>
          <w:i/>
          <w:sz w:val="28"/>
          <w:szCs w:val="28"/>
        </w:rPr>
        <w:t xml:space="preserve"> v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0,5-0,7 м/с и при температуре воздуха   минус (5±1)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, от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носительной влажности 55%, скорости потока </w:t>
      </w:r>
      <w:r w:rsidRPr="00480D13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0,2-0,5 м/с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. Образцы были собраны и высушены сотрудниками кафедры технологии пищевых производств Мурманского арктического университета (Приложение 1, Рис.3).</w:t>
      </w:r>
    </w:p>
    <w:p w:rsidR="00EE3229" w:rsidRPr="00480D13" w:rsidRDefault="00744091" w:rsidP="00480D13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Определение содержания йода в водорослях титриметриче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ским методом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В основу нашего исследования положена методика определения йода в водорослях, представленная в статье М. И. Крыловой 1963 г. [11], в которой по сравнению с методом, изложенным в методических указаниях МУК 4.1.1106 «Определение массовой доли йо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да в пищевых продуктах и сырье титриметрическим методом» [12], была уточнена масса навески исследуемого образца, необходимая для анализа водорослей, и незначительно изменен ход определения йода. </w:t>
      </w:r>
      <w:r w:rsidRPr="00480D13">
        <w:rPr>
          <w:rFonts w:ascii="Times New Roman" w:eastAsia="Times New Roman" w:hAnsi="Times New Roman" w:cs="Times New Roman"/>
          <w:i/>
          <w:sz w:val="28"/>
          <w:szCs w:val="28"/>
        </w:rPr>
        <w:t>Минерализация.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Навеску исследуемого вещества (0,1–2 г сухого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веществе в зависимости от ожидаемых количеств йода) помещают в фарфоровый тигель, добавляют небольшое количество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бидистиллированной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lastRenderedPageBreak/>
        <w:t>воды (до получения кашицеобразного состояния), 1 мл 2 н. раствора едкого калия, перемешивают и оставляют на сутки. Реакция д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олжна быть щелочной (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pH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не ниже 8.0). Далее содержимое тигля выпаривают на водяной бане досуха, высушивают в шкафу сначала при 100 в течении 30 минут, затем температуру повышают до 160 и оставляют тигель при этой температуре еще на 30 минут. После высушива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ния содержимое тигля накрывают крышкой, помещают в холодный муфель, закрывают дверцу и вентиляционное отверстие, чтобы исключить доступ воздуха извне, постепенно нагревают муфель до 600 в течении часа и проводят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озоление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при данной температуре 3 часа.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Пос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ле охлаждения тигля золу количественно переносят в мерную колбу емкостью 50 мл с помощью горячей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бидистиллированной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воды, охлаждают, доводят водой до метки колбы и хорошо перемешивают. Далее содержимое колбы центрифугируют, сливая прозрачный раствор в чист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ую сухую колбу с притертой пробкой. Полученный прозрачный раствор служит для определения в нем йода.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i/>
          <w:sz w:val="28"/>
          <w:szCs w:val="28"/>
        </w:rPr>
        <w:t xml:space="preserve">Определение йода.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Две порции прозрачного раствора золы (по 10 мл) переносят в плоскодонные колбы емкостью по 50 мл с притертой пробкой, добавляют в каждую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колбу по 2 капли концентрированной серной кислоты, перемешивают и проверяют реакцию среды с метилоранжем. Реакция раствора должна быть кислой. Далее в раствор добавляют 3 капли бромной воды, ставят на предварительно нагретую песчаную баню, нагревают до ки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пения и кипятят точно 5 минут, после чего быстро охлаждают. К охлажденному раствору добавляют 0,5 мл 5% раствора йодистого калия, 3 капли 0,5% раствора крахмала и титруют </w:t>
      </w:r>
      <w:proofErr w:type="gramStart"/>
      <w:r w:rsidRPr="00480D13">
        <w:rPr>
          <w:rFonts w:ascii="Times New Roman" w:eastAsia="Times New Roman" w:hAnsi="Times New Roman" w:cs="Times New Roman"/>
          <w:sz w:val="28"/>
          <w:szCs w:val="28"/>
        </w:rPr>
        <w:t>выделившийся  йод</w:t>
      </w:r>
      <w:proofErr w:type="gram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0,0005 н. раствором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серноватистокислого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натрия (тиосульфата натрия)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Измерение концентрации йода основано на окислении йодидов до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йодатов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в кислой среде бромной водой с восстановлением последних до свободного йода по формуле:</w:t>
      </w:r>
    </w:p>
    <w:p w:rsidR="00EE3229" w:rsidRPr="00480D13" w:rsidRDefault="00744091" w:rsidP="00480D13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+ 3Br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+ 3H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sdt>
        <w:sdtPr>
          <w:rPr>
            <w:sz w:val="28"/>
            <w:szCs w:val="28"/>
          </w:rPr>
          <w:tag w:val="goog_rdk_0"/>
          <w:id w:val="-1253280089"/>
        </w:sdtPr>
        <w:sdtEndPr/>
        <w:sdtContent>
          <w:r w:rsidRPr="00480D13">
            <w:rPr>
              <w:rFonts w:ascii="Cardo" w:eastAsia="Cardo" w:hAnsi="Cardo" w:cs="Cardo"/>
              <w:sz w:val="28"/>
              <w:szCs w:val="28"/>
              <w:lang w:val="en-US"/>
            </w:rPr>
            <w:t>O → IO</w:t>
          </w:r>
        </w:sdtContent>
      </w:sdt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+ 6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+ 6Br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;</w:t>
      </w:r>
    </w:p>
    <w:p w:rsidR="00EE3229" w:rsidRPr="00480D13" w:rsidRDefault="00744091" w:rsidP="00480D13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KIO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+ 5KI + 3H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SO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= 3I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+ 3K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SO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+ 3H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O;</w:t>
      </w:r>
    </w:p>
    <w:p w:rsidR="00EE3229" w:rsidRPr="00480D13" w:rsidRDefault="00744091" w:rsidP="00480D13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I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+ 2Na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S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O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= Na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S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O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bscript"/>
        </w:rPr>
        <w:t>6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+ 2NaI.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По количеству затраченного на титрование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серноватистокислого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натрия определяют содержание йода в навеске исследуемого продукта.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Одновременно с определением йода в исследуемом образце устанавливают титр тиосульфата. Для этого в колбочку е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мкостью 50 мл с притертой пробкой вносят 1 мл стандартного раствора йода концентрацией 100 мкг/мл, добавляют 10 мл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бидистиллированной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воды, 2 капли концентрированной серной кислоты, 3 капли бромной воды и далее поступают, как описано выше. Содержание йода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в исследуемом образце в мг/кг вычисляют по следующей формуле:</w:t>
      </w:r>
    </w:p>
    <w:p w:rsidR="00EE3229" w:rsidRPr="00480D13" w:rsidRDefault="00744091" w:rsidP="00480D13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>
        <m:r>
          <w:rPr>
            <w:rFonts w:ascii="Cambria Math" w:eastAsia="Cambria Math" w:hAnsi="Cambria Math" w:cs="Cambria Math"/>
            <w:sz w:val="28"/>
            <w:szCs w:val="28"/>
          </w:rPr>
          <m:t>x</m:t>
        </m:r>
        <m:r>
          <w:rPr>
            <w:rFonts w:ascii="Cambria Math" w:eastAsia="Cambria Math" w:hAnsi="Cambria Math" w:cs="Cambria Math"/>
            <w:sz w:val="28"/>
            <w:szCs w:val="28"/>
          </w:rPr>
          <m:t>=</m:t>
        </m:r>
        <m:f>
          <m:fPr>
            <m:ctrlPr>
              <w:rPr>
                <w:rFonts w:ascii="Cambria Math" w:eastAsia="Cambria Math" w:hAnsi="Cambria Math" w:cs="Cambria Math"/>
                <w:sz w:val="28"/>
                <w:szCs w:val="28"/>
              </w:rPr>
            </m:ctrlPr>
          </m:fPr>
          <m:num>
            <m:r>
              <w:rPr>
                <w:rFonts w:ascii="Cambria Math" w:eastAsia="Cambria Math" w:hAnsi="Cambria Math" w:cs="Cambria Math"/>
                <w:sz w:val="28"/>
                <w:szCs w:val="28"/>
              </w:rPr>
              <m:t>a</m:t>
            </m:r>
            <m:r>
              <w:rPr>
                <w:rFonts w:ascii="Cambria Math" w:eastAsia="Cambria Math" w:hAnsi="Cambria Math" w:cs="Cambria Math"/>
                <w:sz w:val="28"/>
                <w:szCs w:val="28"/>
              </w:rPr>
              <m:t>×50×10×100</m:t>
            </m:r>
          </m:num>
          <m:den>
            <m:r>
              <w:rPr>
                <w:rFonts w:ascii="Cambria Math" w:eastAsia="Cambria Math" w:hAnsi="Cambria Math" w:cs="Cambria Math"/>
                <w:sz w:val="28"/>
                <w:szCs w:val="28"/>
              </w:rPr>
              <m:t>10×б×в×1000</m:t>
            </m:r>
          </m:den>
        </m:f>
        <m:r>
          <w:rPr>
            <w:rFonts w:ascii="Cambria Math" w:eastAsia="Cambria Math" w:hAnsi="Cambria Math" w:cs="Cambria Math"/>
            <w:sz w:val="28"/>
            <w:szCs w:val="28"/>
          </w:rPr>
          <m:t>×10</m:t>
        </m:r>
      </m:oMath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</w:p>
    <w:p w:rsidR="00EE3229" w:rsidRPr="00480D13" w:rsidRDefault="00744091" w:rsidP="00480D13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где: </w:t>
      </w:r>
    </w:p>
    <w:p w:rsidR="00EE3229" w:rsidRPr="00480D13" w:rsidRDefault="00744091" w:rsidP="00480D13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lastRenderedPageBreak/>
        <w:t>a — количество 0,0005 н. раствора тиосульфата, пошедшее на титрование 10 мл раствора золы (в мл); 10 в числителе — количество йода, взятое для установки тит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ра тиосульфата (в мг); </w:t>
      </w:r>
    </w:p>
    <w:p w:rsidR="00EE3229" w:rsidRPr="00480D13" w:rsidRDefault="00744091" w:rsidP="00480D13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б — количество 0,0005 н. раствора тиосульфата, пошедшее на титрование 10 мг йода (в мл); в — навеска исследуемого образца, г [11, С.49-50].</w:t>
      </w:r>
    </w:p>
    <w:p w:rsidR="00EE3229" w:rsidRPr="00480D13" w:rsidRDefault="00EE3229" w:rsidP="00480D13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3229" w:rsidRPr="00480D13" w:rsidRDefault="00744091" w:rsidP="00480D1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4. Оптимизация этапа </w:t>
      </w:r>
      <w:proofErr w:type="spellStart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(минерализации, обжига) водорослей  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Наше исследование базировалось на совершенствовании методики определения йода в водорослях, представленной статье М. И. Крыловой [11], а именно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в уточнении процесса минерализации пробы для каждого вида водорослей.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В методике Крыловой изначально предлагает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ся проводить обжиг в муфельной печи при 600ºС в течении 3 часов.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Отталкиваясь от этого, в своём исследовании мы варьировали такие параметры процесса минерализации, как температуру (500</w:t>
      </w:r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и 600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>) и/или длительность (от 2-х до 5-ти часов в вариациях), и з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атем определяли концентрацию йода в образцах, минерализованных при выбранных параметрах. Функцией отклика служила максимальная концентрация йода (до момента снижения концентрации йода) в исследуемых образцах.  Если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йодосодержание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в образце при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бóльших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темп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ературе или длительности не изменялось, выбирался более экономически выгодный вариант.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Обжиг производился с помощью муфельной печи ТРМ251 (Приложение 1, Рис.4.). В качестве образцов использовались водоросли фукус пузырчатый и ламинария, собранные, заготов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ленные и высушенные в естественных условиях в августе 2022 г. в с. Териберка на берегу губа Баренцева моря.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После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проводился титриметрический анализ по определению содержания йода в образцах водорослей (Приложение 1, Рис.5).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В приложении представл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ена программа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для образцов водорослей фукуса и ламинарии, где варьировались температура и время обжига (Приложение 1, Табл.1).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Программа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зашифрована следующим образом: цифра слева от нижней черты означает температуру обжига,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, цифра спр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ава – длительность, час; в первый час каждой программы муфельная печь нагревалась с нуля до указанной температуры.</w:t>
      </w:r>
    </w:p>
    <w:p w:rsidR="00EE3229" w:rsidRPr="00480D13" w:rsidRDefault="00744091" w:rsidP="00744091">
      <w:pPr>
        <w:pStyle w:val="1"/>
        <w:jc w:val="center"/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</w:pPr>
      <w:bookmarkStart w:id="4" w:name="_Toc187836723"/>
      <w:r w:rsidRPr="00480D13"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  <w:t>Результаты и обсуждения</w:t>
      </w:r>
      <w:bookmarkEnd w:id="4"/>
    </w:p>
    <w:p w:rsidR="00EE3229" w:rsidRPr="00480D13" w:rsidRDefault="00744091" w:rsidP="00480D13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1. Оптимизация этапа </w:t>
      </w:r>
      <w:proofErr w:type="spellStart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водорослей   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Проведенные исследования по оптимизации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показали, что результат определения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содержания йода в фукусе пузырчатом нарастает с увеличен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ием температуры и длительности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обжига (до 500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ºС в течении 4 часов), после чего лишь незначительно увеличивается в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течении следующего часа, далее наблюдается снижение содержания йода в образцах. Следовательно, оптимальным вариантом является обжиг при 500ºС в течение 4-х часов, так как дальнейшее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озоление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показало незначительное повышение определяемого йода с последующи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м его снижением. 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(Приложение 1, Рис. 6).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bookmarkStart w:id="5" w:name="_heading=h.30j0zll" w:colFirst="0" w:colLast="0"/>
      <w:bookmarkEnd w:id="5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lastRenderedPageBreak/>
        <w:t xml:space="preserve">В третьей таблице представлены результаты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ламинарии: содержание в ней йода в среднем превышает значение фукуса в 4-5 раз. Результатами исследований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ламинарии установлено, что для минерализации это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го вида водоросли достаточно 2-х часов при температурах (500-600)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, причём наиболее экономичным является режим при температуре 500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и длительности 2 часа. (Приложение 1,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Рис. 7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). </w:t>
      </w:r>
    </w:p>
    <w:p w:rsidR="00EE3229" w:rsidRPr="00480D13" w:rsidRDefault="00744091" w:rsidP="00480D1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709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Определение содержания йода в бурых водорослях при разных условиях высуш</w:t>
      </w:r>
      <w:r w:rsidRPr="00480D1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ивания.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После оптимизации этапа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водорослей по усовершенствованной методике были проведены исследования образцов ламинарии и фукуса пузырчатого при разных способах сушки, а также контрольных образцов (сырья). Результаты представлены на графике (При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ложение 1, Рис. 8).</w:t>
      </w:r>
    </w:p>
    <w:p w:rsidR="00EE3229" w:rsidRPr="00480D13" w:rsidRDefault="00744091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Как можно видеть, в сыром образце ламинарии содержание йода составляет 320,95 мг/кг при пересчете на абсолютно сухое вещество, что почти в три раза больше, чем содержание йода в фукусе пузырчатом (123,61 мг/кг). У ламинарии при конвекти</w:t>
      </w:r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>вной сушке при температуре минус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(5±1)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терялось 66 </w:t>
      </w:r>
      <w:proofErr w:type="gram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%  йода</w:t>
      </w:r>
      <w:proofErr w:type="gram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(остаточное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йодосодержание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109,45 мг/кг), при  температуре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(20±1)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 потеря йода была значительно выше и составила 80 % (остаточное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йодосодержание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66,15 мг/кг). При сушке фукуса пузырчатого п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отери йода практиче</w:t>
      </w:r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ски не зависели от температуры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и составили 50 % от его первоначального содержания в сырье: остаточное содержание йода в высушенном продукте - 55,55 мг/кг при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(20±1) </w:t>
      </w:r>
      <w:proofErr w:type="spellStart"/>
      <w:proofErr w:type="gram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 и</w:t>
      </w:r>
      <w:proofErr w:type="gram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54,50 мг/кг – при минус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(5±1)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</w:t>
      </w:r>
    </w:p>
    <w:p w:rsidR="00EE3229" w:rsidRPr="00480D13" w:rsidRDefault="00744091" w:rsidP="00744091">
      <w:pPr>
        <w:pStyle w:val="1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6" w:name="_Toc187836724"/>
      <w:r w:rsidRPr="00480D13"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  <w:t>Выводы</w:t>
      </w:r>
      <w:bookmarkEnd w:id="6"/>
    </w:p>
    <w:p w:rsidR="00EE3229" w:rsidRPr="00480D13" w:rsidRDefault="00744091" w:rsidP="00480D13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Подобрана методика определения йода в водорослях (М. И. Крылова), однако её использование при анализе бурых водорослей (фукуса пузырчатого и 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аминарии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дигитаты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) потребовало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доработки при проведении минерализации образцов из-за значительной потери йода в х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оде анализа. В результате исследований оптимизирован процесс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. Установлено, что оптимальная программа обжига при минерализации фукуса пузырчатого 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(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Fucus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vesiculosus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)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составляет: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500 ºС в течении 4-х часов, для ламинарии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пальчаторассечённой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(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Laminar</w:t>
      </w:r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ia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digitata</w:t>
      </w:r>
      <w:proofErr w:type="spellEnd"/>
      <w:r w:rsidRPr="00480D13">
        <w:rPr>
          <w:rFonts w:ascii="Times New Roman" w:eastAsia="Times New Roman" w:hAnsi="Times New Roman" w:cs="Times New Roman"/>
          <w:i/>
          <w:color w:val="202122"/>
          <w:sz w:val="28"/>
          <w:szCs w:val="28"/>
        </w:rPr>
        <w:t>)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– 500 ºС в течении 2-х часов. </w:t>
      </w:r>
    </w:p>
    <w:p w:rsidR="00EE3229" w:rsidRPr="00480D13" w:rsidRDefault="00744091" w:rsidP="00480D13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Определено содержание йода в бурых водорослях в сырье и в образцах, высушенных различным способом конвективной сушки при разных температурах. Установлено, что содержание йода в ламинарии в среднем в три раза выше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, чем в фукусе. При конвективной сушке водорослей значительная часть йода теряется.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Наибольшие потери йода (до 80 %) отмечены при сушке ламинарии методом конвективного обезвоживания при температуре (20±1)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, наименьшие –  при температуре </w:t>
      </w:r>
      <w:proofErr w:type="gramStart"/>
      <w:r w:rsidRPr="00480D13">
        <w:rPr>
          <w:rFonts w:ascii="Times New Roman" w:eastAsia="Times New Roman" w:hAnsi="Times New Roman" w:cs="Times New Roman"/>
          <w:sz w:val="28"/>
          <w:szCs w:val="28"/>
        </w:rPr>
        <w:t>минус  (</w:t>
      </w:r>
      <w:proofErr w:type="gram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5±1)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Потери йода при конвективной сушке фукуса практически не зависят от температуры и составляют в среднем 50 %.</w:t>
      </w:r>
    </w:p>
    <w:p w:rsidR="00EE3229" w:rsidRPr="00480D13" w:rsidRDefault="00EE3229" w:rsidP="00480D13">
      <w:pPr>
        <w:spacing w:line="240" w:lineRule="auto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</w:p>
    <w:p w:rsidR="00EE3229" w:rsidRPr="00480D13" w:rsidRDefault="00744091" w:rsidP="00744091">
      <w:pPr>
        <w:pStyle w:val="1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7" w:name="_Toc187836725"/>
      <w:r w:rsidRPr="00480D13"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  <w:lastRenderedPageBreak/>
        <w:t>Заключение</w:t>
      </w:r>
      <w:bookmarkEnd w:id="7"/>
    </w:p>
    <w:p w:rsidR="00EE3229" w:rsidRPr="00480D13" w:rsidRDefault="00744091" w:rsidP="00480D13">
      <w:pPr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Предложено для исследования содержания йода в бурых водорослях использовать усовершенствованную авторами в части минерализации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бразцов методику М.И. Крыловой </w:t>
      </w: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[11]. Оптимальными условиями </w:t>
      </w:r>
      <w:proofErr w:type="spellStart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озоления</w:t>
      </w:r>
      <w:proofErr w:type="spellEnd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фукуса пузырчатого являются: температура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500 ºС, длительно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сть 4 часа, ламинарии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пальчаторассеченной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– </w:t>
      </w: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температура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500 ºС, длительность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2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час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а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</w:t>
      </w:r>
    </w:p>
    <w:p w:rsidR="00EE3229" w:rsidRPr="00480D13" w:rsidRDefault="00744091" w:rsidP="00480D13">
      <w:pPr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Ламинария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дигитата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обогащена йодом больше, чем фукус пузырчатый. </w:t>
      </w:r>
    </w:p>
    <w:p w:rsidR="00EE3229" w:rsidRPr="00480D13" w:rsidRDefault="00744091" w:rsidP="00480D13">
      <w:pPr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При высушивании водорослей наблюдаются значительные потери йода. В исследованных условиях сушки водорослей оптимальными параметрами высушивания для ламинарии является конвективная сушка при </w:t>
      </w:r>
      <w:proofErr w:type="gramStart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минус  (</w:t>
      </w:r>
      <w:proofErr w:type="gramEnd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5±1) </w:t>
      </w:r>
      <w:proofErr w:type="spellStart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, так как потеря йода при данной температуре на 14%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ниже, чем при высушивании при </w:t>
      </w: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(20±1) </w:t>
      </w:r>
      <w:proofErr w:type="spellStart"/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</w:rPr>
        <w:t>о</w:t>
      </w:r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Для фукуса пузырчатого потери йода в исследованном диапазоне температур сушки практически одинаковые – 50%. </w:t>
      </w:r>
    </w:p>
    <w:p w:rsidR="00EE3229" w:rsidRPr="00480D13" w:rsidRDefault="00EE3229" w:rsidP="00480D13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</w:p>
    <w:p w:rsidR="00EE3229" w:rsidRPr="00480D13" w:rsidRDefault="00744091" w:rsidP="00480D13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  <w:t>Благодарность</w:t>
      </w:r>
    </w:p>
    <w:p w:rsidR="00EE3229" w:rsidRPr="00480D13" w:rsidRDefault="00744091" w:rsidP="00480D13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Выражаем благодарность сотрудникам кафедры технологий пищевых производств Мурманского аркт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ического университета в лице к. т. н., вед. науч.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сотр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>урановой</w:t>
      </w:r>
      <w:proofErr w:type="spellEnd"/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Людмилы </w:t>
      </w:r>
      <w:proofErr w:type="spellStart"/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>Казимировны</w:t>
      </w:r>
      <w:proofErr w:type="spellEnd"/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и к. т. н., ст. науч.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сотр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. Ершова Михаила Александровича за идею и предоставленные образцы бурых водорослей.</w:t>
      </w:r>
    </w:p>
    <w:p w:rsidR="00EE3229" w:rsidRPr="00480D13" w:rsidRDefault="00EE3229" w:rsidP="00480D13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</w:pPr>
    </w:p>
    <w:p w:rsidR="00744091" w:rsidRDefault="00744091" w:rsidP="00480D13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  <w:br w:type="page"/>
      </w:r>
    </w:p>
    <w:p w:rsidR="00EE3229" w:rsidRPr="00480D13" w:rsidRDefault="00744091" w:rsidP="00744091">
      <w:pPr>
        <w:pStyle w:val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8" w:name="_Toc187836726"/>
      <w:r w:rsidRPr="00480D1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Список литературы</w:t>
      </w:r>
      <w:bookmarkEnd w:id="8"/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hyperlink r:id="rId9">
        <w:r w:rsidRPr="00480D13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Арктический газ достанется России – Газета Коммерсантъ № 96 (4151) от 30.05.2009 (kommersant.ru)</w:t>
        </w:r>
      </w:hyperlink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 </w:t>
      </w:r>
      <w:hyperlink r:id="rId10">
        <w:r w:rsidRPr="00480D13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Природные ресур</w:t>
        </w:r>
        <w:r w:rsidRPr="00480D13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сы Арктики. Справка - РИА Новости, 09.04.2010 (ria.ru)</w:t>
        </w:r>
      </w:hyperlink>
      <w:r w:rsidRPr="00480D1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Семенова, Е. В. Использование морских водорослей в медицине и фармации / Е. В. Семенова, А. С.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Билименко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, В. В.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Чеботок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// Современные проблемы науки и образования. – 2019. – № 5. – С. 118.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Подкорытов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Антонина Владимировна, Рощина Анна Николаевна МОРСКИЕ БУРЫЕ ВОДОРОСЛИ - ПЕРСПЕКТИВНЫЙ ИСТОЧНИК БАВ ДЛЯ МЕДИЦИНСКОГО, ФАРМАЦЕВТИЧЕСКОГО И ПИЩЕВОГО ПРИМЕНЕНИЯ // Труды ВНИРО. 2021. №.2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Ellouali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M.,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Boisson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-Vidal, C., Durand, P.,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Jozefonvicz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, J., Antitumor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activity of low molecular weight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fucans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extracted from brown seaweed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Ascophyllum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nodosum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</w:rPr>
        <w:t>Anticancer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</w:rPr>
        <w:t xml:space="preserve"> Res.1993, 13, 2011—2019.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Zapopozhets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, T.S.,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Besednova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, N.N.,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Loenko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, I.N., Antibacterial and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immunomodulating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 activity of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fucoidan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Antibiot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Khimioter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. 1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995, 40, 9-13.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Shibata, H.,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KimuraT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., I., Nagaoka, M., Hashimoto, S. et al., Inhibitory effect of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Cladosiphon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fucoidan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 on the adhesion of Helicobacter pylori to human gastric cells. 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 xml:space="preserve">J.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Nutr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Sci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Vitaminol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. (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Tokyo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) 1999, 45, 325—336.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</w:pP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Adhikari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, U.,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Mateu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, C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.G., Chattopadhyay, K.,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Pujol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, C.A. et al., Structure and antiviral activity of sulfated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fucans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 from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Stoechospermum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>marginatum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  <w:lang w:val="en-US"/>
        </w:rPr>
        <w:t xml:space="preserve">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Phytochemistry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, 2006, 67, 2474—2482.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 xml:space="preserve">Беседнова Н.Н., Сомова Л.М., Гуляев С.А., Запорожец Т.С.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Нейропротективные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 xml:space="preserve"> эффекты сульфати</w:t>
      </w: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рованных полисахаридов из морских водорослей // Вестник Российской академии медицинских наук. 2013. № 5. С. 52-59.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</w:pPr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Пятьдесят третий элемент. Архивная копия от 24 апреля 2018 на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Wayback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Machine</w:t>
      </w:r>
      <w:proofErr w:type="spellEnd"/>
      <w:r w:rsidRPr="00480D13">
        <w:rPr>
          <w:rFonts w:ascii="Times New Roman" w:eastAsia="Times New Roman" w:hAnsi="Times New Roman" w:cs="Times New Roman"/>
          <w:color w:val="202122"/>
          <w:sz w:val="28"/>
          <w:szCs w:val="28"/>
        </w:rPr>
        <w:t>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Klochkova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Marina. </w:t>
      </w:r>
      <w:hyperlink r:id="rId11">
        <w:r w:rsidRPr="00480D13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Reproductive genes of </w:t>
        </w:r>
        <w:proofErr w:type="spellStart"/>
        <w:r w:rsidRPr="00480D13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Fucus</w:t>
        </w:r>
        <w:proofErr w:type="spellEnd"/>
        <w:r w:rsidRPr="00480D13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 </w:t>
        </w:r>
        <w:proofErr w:type="spellStart"/>
        <w:r w:rsidRPr="00480D13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distichus</w:t>
        </w:r>
        <w:proofErr w:type="spellEnd"/>
        <w:r w:rsidRPr="00480D13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 and </w:t>
        </w:r>
        <w:proofErr w:type="spellStart"/>
        <w:r w:rsidRPr="00480D13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Fucus</w:t>
        </w:r>
        <w:proofErr w:type="spellEnd"/>
        <w:r w:rsidRPr="00480D13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 serratus</w:t>
        </w:r>
      </w:hyperlink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—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Дата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обращения</w:t>
      </w:r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01.09.2024. (Reproductive genes of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Fucus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distichus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and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Fucus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serratus.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Masteroppgave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marin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økologi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- Nord </w:t>
      </w:r>
      <w:proofErr w:type="spellStart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universitet</w:t>
      </w:r>
      <w:proofErr w:type="spellEnd"/>
      <w:r w:rsidRPr="00480D13">
        <w:rPr>
          <w:rFonts w:ascii="Times New Roman" w:eastAsia="Times New Roman" w:hAnsi="Times New Roman" w:cs="Times New Roman"/>
          <w:sz w:val="28"/>
          <w:szCs w:val="28"/>
          <w:lang w:val="en-US"/>
        </w:rPr>
        <w:t>, 2016.)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М.И. Крылова ОПРЕДЕЛЕНИЕ ЙОДА В МОРСКОЙ КАПУСТЕ И КОНДИТЕРСКИХ ИЗДЕЛИЯХ, СОДЕРЖАЩИХ МОРСКУЮ КАПУСТУ // Гигиена и санитария. 1963. №1.</w:t>
      </w:r>
    </w:p>
    <w:p w:rsidR="00EE3229" w:rsidRPr="00480D13" w:rsidRDefault="00744091" w:rsidP="00480D13">
      <w:pPr>
        <w:numPr>
          <w:ilvl w:val="0"/>
          <w:numId w:val="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D13">
        <w:rPr>
          <w:rFonts w:ascii="Times New Roman" w:eastAsia="Times New Roman" w:hAnsi="Times New Roman" w:cs="Times New Roman"/>
          <w:sz w:val="28"/>
          <w:szCs w:val="28"/>
        </w:rPr>
        <w:t>Методические указания МУК 4.1.1106-02 «Определение массовой доли йода в пищевых продуктах и сырье титриметрическим методо</w:t>
      </w:r>
      <w:r w:rsidRPr="00480D13">
        <w:rPr>
          <w:rFonts w:ascii="Times New Roman" w:eastAsia="Times New Roman" w:hAnsi="Times New Roman" w:cs="Times New Roman"/>
          <w:sz w:val="28"/>
          <w:szCs w:val="28"/>
        </w:rPr>
        <w:t>м», утв. РФ 14 февраля 2002 г.</w:t>
      </w:r>
    </w:p>
    <w:p w:rsidR="00744091" w:rsidRDefault="00744091" w:rsidP="00480D13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744091" w:rsidRPr="00744091" w:rsidRDefault="00744091" w:rsidP="00744091">
      <w:pPr>
        <w:pStyle w:val="1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bookmarkStart w:id="9" w:name="_Toc187836727"/>
      <w:r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lastRenderedPageBreak/>
        <w:t>Приложение</w:t>
      </w:r>
      <w:bookmarkEnd w:id="9"/>
    </w:p>
    <w:p w:rsidR="00EE3229" w:rsidRDefault="00744091">
      <w:pPr>
        <w:spacing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Приложение 1</w:t>
      </w:r>
    </w:p>
    <w:p w:rsidR="00EE3229" w:rsidRDefault="00EE3229">
      <w:pPr>
        <w:spacing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>
            <wp:extent cx="4807083" cy="2403791"/>
            <wp:effectExtent l="0" t="0" r="0" b="0"/>
            <wp:docPr id="29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7083" cy="24037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Рис.1. </w:t>
      </w:r>
      <w:r>
        <w:rPr>
          <w:rFonts w:ascii="Times New Roman" w:eastAsia="Times New Roman" w:hAnsi="Times New Roman" w:cs="Times New Roman"/>
          <w:color w:val="202122"/>
          <w:sz w:val="24"/>
          <w:szCs w:val="24"/>
        </w:rPr>
        <w:t xml:space="preserve">Ламинария </w:t>
      </w:r>
      <w:proofErr w:type="spellStart"/>
      <w:r>
        <w:rPr>
          <w:rFonts w:ascii="Times New Roman" w:eastAsia="Times New Roman" w:hAnsi="Times New Roman" w:cs="Times New Roman"/>
          <w:color w:val="202122"/>
          <w:sz w:val="24"/>
          <w:szCs w:val="24"/>
        </w:rPr>
        <w:t>пальчаторассеченная</w:t>
      </w:r>
      <w:proofErr w:type="spellEnd"/>
      <w:r>
        <w:rPr>
          <w:rFonts w:ascii="Times New Roman" w:eastAsia="Times New Roman" w:hAnsi="Times New Roman" w:cs="Times New Roman"/>
          <w:color w:val="202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Laminaria</w:t>
      </w:r>
      <w:proofErr w:type="spellEnd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digitata</w:t>
      </w:r>
      <w:proofErr w:type="spellEnd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)</w:t>
      </w:r>
    </w:p>
    <w:p w:rsidR="00EE3229" w:rsidRDefault="00EE3229">
      <w:pPr>
        <w:spacing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>
            <wp:extent cx="4806933" cy="2093905"/>
            <wp:effectExtent l="0" t="0" r="0" b="0"/>
            <wp:docPr id="28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3"/>
                    <a:srcRect t="22988" b="11671"/>
                    <a:stretch>
                      <a:fillRect/>
                    </a:stretch>
                  </pic:blipFill>
                  <pic:spPr>
                    <a:xfrm>
                      <a:off x="0" y="0"/>
                      <a:ext cx="4806933" cy="2093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Рис.2. </w:t>
      </w:r>
      <w:r>
        <w:rPr>
          <w:rFonts w:ascii="Times New Roman" w:eastAsia="Times New Roman" w:hAnsi="Times New Roman" w:cs="Times New Roman"/>
          <w:color w:val="202122"/>
          <w:sz w:val="24"/>
          <w:szCs w:val="24"/>
        </w:rPr>
        <w:t xml:space="preserve">Фукус пузырчатый </w:t>
      </w:r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Fucus</w:t>
      </w:r>
      <w:proofErr w:type="spellEnd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vesiculosus</w:t>
      </w:r>
      <w:proofErr w:type="spellEnd"/>
      <w:r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  <w:t>)</w:t>
      </w:r>
    </w:p>
    <w:p w:rsidR="00EE3229" w:rsidRDefault="00EE3229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</w:pPr>
    </w:p>
    <w:tbl>
      <w:tblPr>
        <w:tblStyle w:val="af4"/>
        <w:tblW w:w="963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815"/>
        <w:gridCol w:w="4816"/>
      </w:tblGrid>
      <w:tr w:rsidR="00EE3229">
        <w:tc>
          <w:tcPr>
            <w:tcW w:w="4815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159462" cy="1616292"/>
                  <wp:effectExtent l="0" t="0" r="0" b="0"/>
                  <wp:docPr id="29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462" cy="16162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181343" cy="1632670"/>
                  <wp:effectExtent l="0" t="0" r="0" b="0"/>
                  <wp:docPr id="29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343" cy="16326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29">
        <w:tc>
          <w:tcPr>
            <w:tcW w:w="4815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Ламинария (сырье)</w:t>
            </w:r>
          </w:p>
        </w:tc>
        <w:tc>
          <w:tcPr>
            <w:tcW w:w="4816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Фукус пузырчатый (сырье)</w:t>
            </w:r>
          </w:p>
        </w:tc>
      </w:tr>
      <w:tr w:rsidR="00EE3229">
        <w:tc>
          <w:tcPr>
            <w:tcW w:w="4815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ru-RU"/>
              </w:rPr>
              <w:lastRenderedPageBreak/>
              <w:drawing>
                <wp:inline distT="0" distB="0" distL="0" distR="0">
                  <wp:extent cx="2216634" cy="1659084"/>
                  <wp:effectExtent l="0" t="0" r="0" b="0"/>
                  <wp:docPr id="29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216634" cy="16590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191464" cy="1640246"/>
                  <wp:effectExtent l="0" t="0" r="0" b="0"/>
                  <wp:docPr id="29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464" cy="16402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29">
        <w:tc>
          <w:tcPr>
            <w:tcW w:w="4815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Ламинария (сушка при + 20 °С)</w:t>
            </w:r>
          </w:p>
        </w:tc>
        <w:tc>
          <w:tcPr>
            <w:tcW w:w="4816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Фукус (сушка при + 20 °С)</w:t>
            </w:r>
          </w:p>
        </w:tc>
      </w:tr>
      <w:tr w:rsidR="00EE3229">
        <w:tc>
          <w:tcPr>
            <w:tcW w:w="4815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189152" cy="1638515"/>
                  <wp:effectExtent l="0" t="0" r="0" b="0"/>
                  <wp:docPr id="29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152" cy="16385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156790" cy="1614293"/>
                  <wp:effectExtent l="0" t="0" r="0" b="0"/>
                  <wp:docPr id="29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790" cy="16142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29">
        <w:tc>
          <w:tcPr>
            <w:tcW w:w="4815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Ламинария (сушка при - 5 °С)</w:t>
            </w:r>
          </w:p>
        </w:tc>
        <w:tc>
          <w:tcPr>
            <w:tcW w:w="4816" w:type="dxa"/>
          </w:tcPr>
          <w:p w:rsidR="00EE3229" w:rsidRDefault="007440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Фукус (сушка при - 5 °С)</w:t>
            </w:r>
          </w:p>
        </w:tc>
      </w:tr>
    </w:tbl>
    <w:p w:rsidR="00EE3229" w:rsidRDefault="00EE3229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Рис.3. </w:t>
      </w:r>
      <w:r>
        <w:rPr>
          <w:rFonts w:ascii="Times New Roman" w:eastAsia="Times New Roman" w:hAnsi="Times New Roman" w:cs="Times New Roman"/>
          <w:color w:val="202122"/>
          <w:sz w:val="24"/>
          <w:szCs w:val="24"/>
        </w:rPr>
        <w:t>Объекты исследования</w:t>
      </w:r>
    </w:p>
    <w:p w:rsidR="00EE3229" w:rsidRDefault="00EE3229">
      <w:pPr>
        <w:spacing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>
            <wp:extent cx="4042000" cy="3025201"/>
            <wp:effectExtent l="0" t="0" r="0" b="0"/>
            <wp:docPr id="29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2000" cy="30252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29" w:rsidRDefault="00EE3229">
      <w:pPr>
        <w:spacing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Рис.4. </w:t>
      </w:r>
      <w:r>
        <w:rPr>
          <w:rFonts w:ascii="Times New Roman" w:eastAsia="Times New Roman" w:hAnsi="Times New Roman" w:cs="Times New Roman"/>
          <w:color w:val="202122"/>
          <w:sz w:val="24"/>
          <w:szCs w:val="24"/>
        </w:rPr>
        <w:t>Муфельная печь ТРМ 251</w:t>
      </w:r>
    </w:p>
    <w:p w:rsidR="00EE3229" w:rsidRDefault="00EE322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E3229" w:rsidRDefault="0074409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>
            <wp:extent cx="1779815" cy="2379411"/>
            <wp:effectExtent l="0" t="0" r="0" b="0"/>
            <wp:docPr id="29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9815" cy="23794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>
            <wp:extent cx="2276465" cy="2374286"/>
            <wp:effectExtent l="0" t="0" r="0" b="0"/>
            <wp:docPr id="29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6465" cy="23742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>
            <wp:extent cx="1689312" cy="2387900"/>
            <wp:effectExtent l="0" t="0" r="0" b="0"/>
            <wp:docPr id="30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9312" cy="238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29" w:rsidRDefault="00EE322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color w:val="202122"/>
          <w:sz w:val="24"/>
          <w:szCs w:val="24"/>
        </w:rPr>
      </w:pPr>
      <w:bookmarkStart w:id="10" w:name="_heading=h.gjdgxs" w:colFirst="0" w:colLast="0"/>
      <w:bookmarkEnd w:id="10"/>
      <w:r>
        <w:rPr>
          <w:rFonts w:ascii="Times New Roman" w:eastAsia="Times New Roman" w:hAnsi="Times New Roman" w:cs="Times New Roman"/>
          <w:sz w:val="24"/>
          <w:szCs w:val="24"/>
        </w:rPr>
        <w:t xml:space="preserve">Рис.5. </w:t>
      </w:r>
      <w:r>
        <w:rPr>
          <w:rFonts w:ascii="Times New Roman" w:eastAsia="Times New Roman" w:hAnsi="Times New Roman" w:cs="Times New Roman"/>
          <w:color w:val="202122"/>
          <w:sz w:val="24"/>
          <w:szCs w:val="24"/>
        </w:rPr>
        <w:t>Определения содержания йода в исследуемых образцах. Ход работы.</w:t>
      </w:r>
    </w:p>
    <w:p w:rsidR="00EE3229" w:rsidRDefault="00EE3229">
      <w:pPr>
        <w:spacing w:line="360" w:lineRule="auto"/>
        <w:rPr>
          <w:rFonts w:ascii="Times New Roman" w:eastAsia="Times New Roman" w:hAnsi="Times New Roman" w:cs="Times New Roman"/>
          <w:i/>
          <w:color w:val="202122"/>
          <w:sz w:val="24"/>
          <w:szCs w:val="24"/>
        </w:rPr>
      </w:pPr>
    </w:p>
    <w:p w:rsidR="00EE3229" w:rsidRDefault="00744091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1. Программы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озоления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образцов ламинарии и фукуса пузырчатого</w:t>
      </w:r>
    </w:p>
    <w:tbl>
      <w:tblPr>
        <w:tblStyle w:val="af5"/>
        <w:tblW w:w="9509" w:type="dxa"/>
        <w:tblInd w:w="-150" w:type="dxa"/>
        <w:tblLayout w:type="fixed"/>
        <w:tblLook w:val="0400" w:firstRow="0" w:lastRow="0" w:firstColumn="0" w:lastColumn="0" w:noHBand="0" w:noVBand="1"/>
      </w:tblPr>
      <w:tblGrid>
        <w:gridCol w:w="2544"/>
        <w:gridCol w:w="6965"/>
      </w:tblGrid>
      <w:tr w:rsidR="00EE3229">
        <w:trPr>
          <w:trHeight w:val="290"/>
        </w:trPr>
        <w:tc>
          <w:tcPr>
            <w:tcW w:w="2544" w:type="dxa"/>
            <w:tcBorders>
              <w:bottom w:val="single" w:sz="4" w:space="0" w:color="000000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Шифр</w:t>
            </w:r>
          </w:p>
        </w:tc>
        <w:tc>
          <w:tcPr>
            <w:tcW w:w="6965" w:type="dxa"/>
            <w:tcBorders>
              <w:bottom w:val="single" w:sz="4" w:space="0" w:color="000000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Программа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озоления</w:t>
            </w:r>
            <w:proofErr w:type="spellEnd"/>
          </w:p>
        </w:tc>
      </w:tr>
      <w:tr w:rsidR="00EE3229">
        <w:trPr>
          <w:trHeight w:val="332"/>
        </w:trPr>
        <w:tc>
          <w:tcPr>
            <w:tcW w:w="2544" w:type="dxa"/>
            <w:tcBorders>
              <w:top w:val="single" w:sz="4" w:space="0" w:color="000000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500_2</w:t>
            </w:r>
          </w:p>
        </w:tc>
        <w:tc>
          <w:tcPr>
            <w:tcW w:w="6965" w:type="dxa"/>
            <w:tcBorders>
              <w:top w:val="single" w:sz="4" w:space="0" w:color="000000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500°С и 1 час при 500°С</w:t>
            </w:r>
          </w:p>
        </w:tc>
      </w:tr>
      <w:tr w:rsidR="00EE3229">
        <w:trPr>
          <w:trHeight w:val="398"/>
        </w:trPr>
        <w:tc>
          <w:tcPr>
            <w:tcW w:w="2544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600_2</w:t>
            </w:r>
          </w:p>
        </w:tc>
        <w:tc>
          <w:tcPr>
            <w:tcW w:w="6965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600°С и 1 час при 600°С</w:t>
            </w:r>
          </w:p>
        </w:tc>
      </w:tr>
      <w:tr w:rsidR="00EE3229">
        <w:trPr>
          <w:trHeight w:val="394"/>
        </w:trPr>
        <w:tc>
          <w:tcPr>
            <w:tcW w:w="2544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500_3</w:t>
            </w:r>
          </w:p>
        </w:tc>
        <w:tc>
          <w:tcPr>
            <w:tcW w:w="6965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500 °С и 2 часа при 500 °С</w:t>
            </w:r>
          </w:p>
        </w:tc>
      </w:tr>
      <w:tr w:rsidR="00EE3229">
        <w:trPr>
          <w:trHeight w:val="390"/>
        </w:trPr>
        <w:tc>
          <w:tcPr>
            <w:tcW w:w="2544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600_3</w:t>
            </w:r>
          </w:p>
        </w:tc>
        <w:tc>
          <w:tcPr>
            <w:tcW w:w="6965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600 °С и 2 часа при 600 °С</w:t>
            </w:r>
          </w:p>
        </w:tc>
      </w:tr>
      <w:tr w:rsidR="00EE3229">
        <w:trPr>
          <w:trHeight w:val="400"/>
        </w:trPr>
        <w:tc>
          <w:tcPr>
            <w:tcW w:w="2544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500_4</w:t>
            </w:r>
          </w:p>
        </w:tc>
        <w:tc>
          <w:tcPr>
            <w:tcW w:w="6965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500 °С и 3 часа при 500 °С</w:t>
            </w:r>
          </w:p>
        </w:tc>
      </w:tr>
      <w:tr w:rsidR="00EE3229">
        <w:trPr>
          <w:trHeight w:val="382"/>
        </w:trPr>
        <w:tc>
          <w:tcPr>
            <w:tcW w:w="2544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600_4</w:t>
            </w:r>
          </w:p>
        </w:tc>
        <w:tc>
          <w:tcPr>
            <w:tcW w:w="6965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600 °С и 3 часа при 600 °С</w:t>
            </w:r>
          </w:p>
        </w:tc>
      </w:tr>
      <w:tr w:rsidR="00EE3229">
        <w:trPr>
          <w:trHeight w:val="393"/>
        </w:trPr>
        <w:tc>
          <w:tcPr>
            <w:tcW w:w="2544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500_5</w:t>
            </w:r>
          </w:p>
        </w:tc>
        <w:tc>
          <w:tcPr>
            <w:tcW w:w="6965" w:type="dxa"/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500 °С и 4 часа при 500 °С</w:t>
            </w:r>
          </w:p>
        </w:tc>
      </w:tr>
      <w:tr w:rsidR="00EE3229">
        <w:trPr>
          <w:trHeight w:val="260"/>
        </w:trPr>
        <w:tc>
          <w:tcPr>
            <w:tcW w:w="2544" w:type="dxa"/>
            <w:tcBorders>
              <w:bottom w:val="single" w:sz="4" w:space="0" w:color="000000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600_5</w:t>
            </w:r>
          </w:p>
        </w:tc>
        <w:tc>
          <w:tcPr>
            <w:tcW w:w="6965" w:type="dxa"/>
            <w:tcBorders>
              <w:bottom w:val="single" w:sz="4" w:space="0" w:color="000000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EE3229" w:rsidRDefault="0074409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Озоление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течение 1 часа до 600 °С и 4 часа при 600 °С</w:t>
            </w:r>
          </w:p>
        </w:tc>
      </w:tr>
    </w:tbl>
    <w:p w:rsidR="00EE3229" w:rsidRDefault="00EE3229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E3229" w:rsidRDefault="00EE3229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E3229" w:rsidRDefault="00EE3229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4598347" cy="2102283"/>
            <wp:effectExtent l="0" t="0" r="0" b="0"/>
            <wp:docPr id="301" name="image14.png" descr="Диаграмм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Диаграмма"/>
                    <pic:cNvPicPr preferRelativeResize="0"/>
                  </pic:nvPicPr>
                  <pic:blipFill>
                    <a:blip r:embed="rId24"/>
                    <a:srcRect t="17026"/>
                    <a:stretch>
                      <a:fillRect/>
                    </a:stretch>
                  </pic:blipFill>
                  <pic:spPr>
                    <a:xfrm>
                      <a:off x="0" y="0"/>
                      <a:ext cx="4598347" cy="21022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Рис.6. Содержание йода в фукусе пузырчатом при разных параметрах (программах)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озоления</w:t>
      </w:r>
      <w:proofErr w:type="spellEnd"/>
    </w:p>
    <w:p w:rsidR="00EE3229" w:rsidRDefault="00EE3229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4495902" cy="2203500"/>
            <wp:effectExtent l="0" t="0" r="0" b="0"/>
            <wp:docPr id="302" name="image4.png" descr="Диаграмм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Диаграмма"/>
                    <pic:cNvPicPr preferRelativeResize="0"/>
                  </pic:nvPicPr>
                  <pic:blipFill>
                    <a:blip r:embed="rId25"/>
                    <a:srcRect t="15459"/>
                    <a:stretch>
                      <a:fillRect/>
                    </a:stretch>
                  </pic:blipFill>
                  <pic:spPr>
                    <a:xfrm>
                      <a:off x="0" y="0"/>
                      <a:ext cx="4495902" cy="22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Рис.7. Содержание йода в ламинарии при разных параметрах (программах)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озоления</w:t>
      </w:r>
      <w:proofErr w:type="spellEnd"/>
    </w:p>
    <w:p w:rsidR="00EE3229" w:rsidRDefault="00EE3229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b/>
          <w:i/>
          <w:color w:val="202122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i/>
          <w:noProof/>
          <w:color w:val="202122"/>
          <w:sz w:val="24"/>
          <w:szCs w:val="24"/>
          <w:highlight w:val="white"/>
          <w:lang w:val="ru-RU"/>
        </w:rPr>
        <w:drawing>
          <wp:inline distT="0" distB="0" distL="0" distR="0">
            <wp:extent cx="5094871" cy="2947220"/>
            <wp:effectExtent l="0" t="0" r="0" b="0"/>
            <wp:docPr id="30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4871" cy="2947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29" w:rsidRDefault="00EE3229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202122"/>
          <w:sz w:val="24"/>
          <w:szCs w:val="24"/>
          <w:highlight w:val="white"/>
        </w:rPr>
      </w:pPr>
    </w:p>
    <w:p w:rsidR="00EE3229" w:rsidRDefault="00744091">
      <w:pPr>
        <w:spacing w:line="36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Рис.8. Содержание йода в бурых водорослях при разных условиях сушки </w:t>
      </w:r>
    </w:p>
    <w:sectPr w:rsidR="00EE3229" w:rsidSect="00480D13">
      <w:footerReference w:type="default" r:id="rId27"/>
      <w:pgSz w:w="11909" w:h="16834"/>
      <w:pgMar w:top="1134" w:right="1134" w:bottom="1134" w:left="1134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744091">
      <w:pPr>
        <w:spacing w:line="240" w:lineRule="auto"/>
      </w:pPr>
      <w:r>
        <w:separator/>
      </w:r>
    </w:p>
  </w:endnote>
  <w:endnote w:type="continuationSeparator" w:id="0">
    <w:p w:rsidR="00000000" w:rsidRDefault="0074409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rdo">
    <w:charset w:val="00"/>
    <w:family w:val="auto"/>
    <w:pitch w:val="default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3229" w:rsidRDefault="00744091">
    <w:pPr>
      <w:jc w:val="right"/>
    </w:pPr>
    <w:r>
      <w:fldChar w:fldCharType="begin"/>
    </w:r>
    <w:r>
      <w:instrText>PAGE</w:instrText>
    </w:r>
    <w:r w:rsidR="00480D13">
      <w:fldChar w:fldCharType="separate"/>
    </w:r>
    <w:r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744091">
      <w:pPr>
        <w:spacing w:line="240" w:lineRule="auto"/>
      </w:pPr>
      <w:r>
        <w:separator/>
      </w:r>
    </w:p>
  </w:footnote>
  <w:footnote w:type="continuationSeparator" w:id="0">
    <w:p w:rsidR="00000000" w:rsidRDefault="0074409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A90F58"/>
    <w:multiLevelType w:val="multilevel"/>
    <w:tmpl w:val="96B4F92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04D0F23"/>
    <w:multiLevelType w:val="multilevel"/>
    <w:tmpl w:val="AE4E5EEE"/>
    <w:lvl w:ilvl="0">
      <w:start w:val="2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507A1DF7"/>
    <w:multiLevelType w:val="multilevel"/>
    <w:tmpl w:val="A992E28E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229"/>
    <w:rsid w:val="00480D13"/>
    <w:rsid w:val="00744091"/>
    <w:rsid w:val="00EE3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2DCE1D"/>
  <w15:docId w15:val="{9EB87AAF-6D33-4E3A-83CC-585190BAC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paragraph" w:styleId="a5">
    <w:name w:val="List Paragraph"/>
    <w:basedOn w:val="a"/>
    <w:uiPriority w:val="34"/>
    <w:qFormat/>
    <w:rsid w:val="00C1319B"/>
    <w:pPr>
      <w:ind w:left="720"/>
      <w:contextualSpacing/>
    </w:pPr>
  </w:style>
  <w:style w:type="table" w:styleId="a6">
    <w:name w:val="Table Grid"/>
    <w:basedOn w:val="a1"/>
    <w:uiPriority w:val="39"/>
    <w:rsid w:val="00B83A8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7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8">
    <w:basedOn w:val="TableNormal3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2"/>
    <w:pPr>
      <w:spacing w:line="240" w:lineRule="auto"/>
    </w:pPr>
    <w:tblPr>
      <w:tblStyleRowBandSize w:val="1"/>
      <w:tblStyleColBandSize w:val="1"/>
      <w:tblCellMar>
        <w:top w:w="15" w:type="dxa"/>
        <w:left w:w="108" w:type="dxa"/>
        <w:bottom w:w="15" w:type="dxa"/>
        <w:right w:w="108" w:type="dxa"/>
      </w:tblCellMar>
    </w:tblPr>
  </w:style>
  <w:style w:type="table" w:customStyle="1" w:styleId="aa">
    <w:basedOn w:val="TableNormal2"/>
    <w:pPr>
      <w:spacing w:line="240" w:lineRule="auto"/>
    </w:pPr>
    <w:tblPr>
      <w:tblStyleRowBandSize w:val="1"/>
      <w:tblStyleColBandSize w:val="1"/>
      <w:tblCellMar>
        <w:top w:w="15" w:type="dxa"/>
        <w:left w:w="108" w:type="dxa"/>
        <w:bottom w:w="15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E0565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E05655"/>
    <w:rPr>
      <w:rFonts w:ascii="Segoe UI" w:hAnsi="Segoe UI" w:cs="Segoe UI"/>
      <w:sz w:val="18"/>
      <w:szCs w:val="18"/>
    </w:rPr>
  </w:style>
  <w:style w:type="paragraph" w:styleId="ad">
    <w:name w:val="header"/>
    <w:basedOn w:val="a"/>
    <w:link w:val="ae"/>
    <w:uiPriority w:val="99"/>
    <w:unhideWhenUsed/>
    <w:rsid w:val="00C60CFA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C60CFA"/>
  </w:style>
  <w:style w:type="paragraph" w:styleId="af">
    <w:name w:val="footer"/>
    <w:basedOn w:val="a"/>
    <w:link w:val="af0"/>
    <w:uiPriority w:val="99"/>
    <w:unhideWhenUsed/>
    <w:rsid w:val="00C60CFA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C60CFA"/>
  </w:style>
  <w:style w:type="character" w:styleId="af1">
    <w:name w:val="Placeholder Text"/>
    <w:basedOn w:val="a0"/>
    <w:uiPriority w:val="99"/>
    <w:semiHidden/>
    <w:rsid w:val="00E36EDB"/>
    <w:rPr>
      <w:color w:val="808080"/>
    </w:rPr>
  </w:style>
  <w:style w:type="table" w:customStyle="1" w:styleId="af2">
    <w:basedOn w:val="TableNormal1"/>
    <w:pPr>
      <w:spacing w:line="240" w:lineRule="auto"/>
    </w:pPr>
    <w:tblPr>
      <w:tblStyleRowBandSize w:val="1"/>
      <w:tblStyleColBandSize w:val="1"/>
      <w:tblCellMar>
        <w:top w:w="15" w:type="dxa"/>
        <w:left w:w="108" w:type="dxa"/>
        <w:bottom w:w="15" w:type="dxa"/>
        <w:right w:w="108" w:type="dxa"/>
      </w:tblCellMar>
    </w:tblPr>
  </w:style>
  <w:style w:type="table" w:customStyle="1" w:styleId="af3">
    <w:basedOn w:val="TableNormal1"/>
    <w:pPr>
      <w:spacing w:line="240" w:lineRule="auto"/>
    </w:pPr>
    <w:tblPr>
      <w:tblStyleRowBandSize w:val="1"/>
      <w:tblStyleColBandSize w:val="1"/>
      <w:tblCellMar>
        <w:top w:w="15" w:type="dxa"/>
        <w:left w:w="108" w:type="dxa"/>
        <w:bottom w:w="15" w:type="dxa"/>
        <w:right w:w="108" w:type="dxa"/>
      </w:tblCellMar>
    </w:tblPr>
  </w:style>
  <w:style w:type="table" w:customStyle="1" w:styleId="af4">
    <w:basedOn w:val="TableNormal1"/>
    <w:pPr>
      <w:spacing w:line="240" w:lineRule="auto"/>
    </w:pPr>
    <w:tblPr>
      <w:tblStyleRowBandSize w:val="1"/>
      <w:tblStyleColBandSize w:val="1"/>
      <w:tblCellMar>
        <w:top w:w="15" w:type="dxa"/>
        <w:left w:w="108" w:type="dxa"/>
        <w:bottom w:w="15" w:type="dxa"/>
        <w:right w:w="108" w:type="dxa"/>
      </w:tblCellMar>
    </w:tblPr>
  </w:style>
  <w:style w:type="table" w:customStyle="1" w:styleId="af5">
    <w:basedOn w:val="TableNormal1"/>
    <w:pPr>
      <w:spacing w:line="240" w:lineRule="auto"/>
    </w:pPr>
    <w:tblPr>
      <w:tblStyleRowBandSize w:val="1"/>
      <w:tblStyleColBandSize w:val="1"/>
      <w:tblCellMar>
        <w:top w:w="15" w:type="dxa"/>
        <w:left w:w="108" w:type="dxa"/>
        <w:bottom w:w="15" w:type="dxa"/>
        <w:right w:w="108" w:type="dxa"/>
      </w:tblCellMar>
    </w:tblPr>
  </w:style>
  <w:style w:type="paragraph" w:styleId="af6">
    <w:name w:val="TOC Heading"/>
    <w:basedOn w:val="1"/>
    <w:next w:val="a"/>
    <w:uiPriority w:val="39"/>
    <w:unhideWhenUsed/>
    <w:qFormat/>
    <w:rsid w:val="00744091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ru-RU"/>
    </w:rPr>
  </w:style>
  <w:style w:type="paragraph" w:styleId="20">
    <w:name w:val="toc 2"/>
    <w:basedOn w:val="a"/>
    <w:next w:val="a"/>
    <w:autoRedefine/>
    <w:uiPriority w:val="39"/>
    <w:unhideWhenUsed/>
    <w:rsid w:val="00744091"/>
    <w:pPr>
      <w:spacing w:after="100" w:line="259" w:lineRule="auto"/>
      <w:ind w:left="220"/>
    </w:pPr>
    <w:rPr>
      <w:rFonts w:asciiTheme="minorHAnsi" w:eastAsiaTheme="minorEastAsia" w:hAnsiTheme="minorHAnsi" w:cs="Times New Roman"/>
      <w:lang w:val="ru-RU"/>
    </w:rPr>
  </w:style>
  <w:style w:type="paragraph" w:styleId="10">
    <w:name w:val="toc 1"/>
    <w:basedOn w:val="a"/>
    <w:next w:val="a"/>
    <w:autoRedefine/>
    <w:uiPriority w:val="39"/>
    <w:unhideWhenUsed/>
    <w:rsid w:val="00744091"/>
    <w:pPr>
      <w:spacing w:after="100" w:line="259" w:lineRule="auto"/>
    </w:pPr>
    <w:rPr>
      <w:rFonts w:asciiTheme="minorHAnsi" w:eastAsiaTheme="minorEastAsia" w:hAnsiTheme="minorHAnsi" w:cs="Times New Roman"/>
      <w:lang w:val="ru-RU"/>
    </w:rPr>
  </w:style>
  <w:style w:type="paragraph" w:styleId="30">
    <w:name w:val="toc 3"/>
    <w:basedOn w:val="a"/>
    <w:next w:val="a"/>
    <w:autoRedefine/>
    <w:uiPriority w:val="39"/>
    <w:unhideWhenUsed/>
    <w:rsid w:val="00744091"/>
    <w:pPr>
      <w:spacing w:after="100" w:line="259" w:lineRule="auto"/>
      <w:ind w:left="440"/>
    </w:pPr>
    <w:rPr>
      <w:rFonts w:asciiTheme="minorHAnsi" w:eastAsiaTheme="minorEastAsia" w:hAnsiTheme="minorHAnsi" w:cs="Times New Roman"/>
      <w:lang w:val="ru-RU"/>
    </w:rPr>
  </w:style>
  <w:style w:type="character" w:styleId="af7">
    <w:name w:val="Hyperlink"/>
    <w:basedOn w:val="a0"/>
    <w:uiPriority w:val="99"/>
    <w:unhideWhenUsed/>
    <w:rsid w:val="0074409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numbering" Target="numbering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1.jp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hdl.handle.net/11250/2425601" TargetMode="External"/><Relationship Id="rId24" Type="http://schemas.openxmlformats.org/officeDocument/2006/relationships/image" Target="media/image13.pn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fontTable" Target="fontTable.xml"/><Relationship Id="rId10" Type="http://schemas.openxmlformats.org/officeDocument/2006/relationships/hyperlink" Target="https://ria.ru/20100415/220120223.html" TargetMode="External"/><Relationship Id="rId19" Type="http://schemas.openxmlformats.org/officeDocument/2006/relationships/image" Target="media/image8.png"/><Relationship Id="rId4" Type="http://schemas.openxmlformats.org/officeDocument/2006/relationships/styles" Target="styles.xml"/><Relationship Id="rId9" Type="http://schemas.openxmlformats.org/officeDocument/2006/relationships/hyperlink" Target="https://www.kommersant.ru/doc/1179746?ysclid=m06p8n7t85986285673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rdo">
    <w:charset w:val="00"/>
    <w:family w:val="auto"/>
    <w:pitch w:val="default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comments="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9D0"/>
    <w:rsid w:val="001269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DA32338D46F4B3BB885969D858C435C">
    <w:name w:val="1DA32338D46F4B3BB885969D858C435C"/>
    <w:rsid w:val="001269D0"/>
  </w:style>
  <w:style w:type="paragraph" w:customStyle="1" w:styleId="87EF9E80B8ED4A61B0E8D8F0B4810D94">
    <w:name w:val="87EF9E80B8ED4A61B0E8D8F0B4810D94"/>
    <w:rsid w:val="001269D0"/>
  </w:style>
  <w:style w:type="paragraph" w:customStyle="1" w:styleId="EAE23107E4E840CF8DEAC796836CF743">
    <w:name w:val="EAE23107E4E840CF8DEAC796836CF743"/>
    <w:rsid w:val="001269D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EHt9joYQQdw/mnCCP1gSUkFtUbw==">CgMxLjAaIwoBMBIeChwIB0IYCg9UaW1lcyBOZXcgUm9tYW4SBUNhcmRvMgloLjMwajB6bGwyCGguZ2pkZ3hzOAByITFhbC1DcDZWaV9SVFVlclNpb2ozWHhleWpCZEpzcDFWUw==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customXml/itemProps2.xml><?xml version="1.0" encoding="utf-8"?>
<ds:datastoreItem xmlns:ds="http://schemas.openxmlformats.org/officeDocument/2006/customXml" ds:itemID="{45AB3647-D6B2-47F8-9A55-0FD77BA07D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14</Pages>
  <Words>3267</Words>
  <Characters>18623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 Соколан</dc:creator>
  <cp:lastModifiedBy>Ростислав Михин</cp:lastModifiedBy>
  <cp:revision>2</cp:revision>
  <dcterms:created xsi:type="dcterms:W3CDTF">2024-09-01T10:33:00Z</dcterms:created>
  <dcterms:modified xsi:type="dcterms:W3CDTF">2025-01-15T09:33:00Z</dcterms:modified>
</cp:coreProperties>
</file>