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Государственное бюджетное учреждение дополнительного образования</w:t>
        <w:br/>
        <w:t>Костромской области «Эколого-биологический центр «Следово»</w:t>
        <w:br/>
        <w:t>им. Ю. П. Карвацкого»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Всероссийский конкурс юных исследователей окружающей среды</w:t>
        <w:br/>
        <w:t>имени Б. В. Всесвятского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92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МАКРОФАУНА СРЕДНЕВОЛЖСКОЙ СЛАНЦЕНОСНОЙ ТОЛЩИ</w:t>
        <w:br/>
        <w:t>ПОЗДНЕЮРСКИХ ОТЛОЖЕНИЙ БАССЕЙНА РЕКИ УНЖИ</w:t>
        <w:br/>
        <w:t>КОСТРОМСКОЙ ОБЛАСТИ</w:t>
      </w:r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3320" w:right="0" w:firstLine="0"/>
        <w:jc w:val="left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Автор:</w:t>
      </w:r>
      <w:bookmarkEnd w:id="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ГРУЗДЕВ Павел Антонович,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3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9 класс МБОУ Костромского муниципального р-на Костромской обл. «Караваевская СОШ»; обучающийся ГБУ ДО ЭБЦ «Следово» им. Ю. П. Карвацкого.</w:t>
      </w:r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3320" w:right="0" w:firstLine="0"/>
        <w:jc w:val="left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Научный руководитель:</w:t>
      </w:r>
      <w:bookmarkEnd w:id="2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0" w:line="240" w:lineRule="auto"/>
        <w:ind w:left="3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АНЦИФЕРОВ Анатолий Леонидович, к. б. н., педагог ЭБЦ «Следово» им. Ю. П. Карвацкого; ст. научный сотрудник отдела природы Костромского музея-заповедника.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КОСТРОМА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2024</w:t>
      </w:r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center"/>
      </w:pPr>
      <w:bookmarkStart w:id="4" w:name="bookmark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СОДЕРЖАНИЕ</w:t>
      </w:r>
      <w:bookmarkEnd w:id="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Стр.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8901" w:val="center"/>
        </w:tabs>
        <w:bidi w:val="0"/>
        <w:spacing w:before="0" w:line="240" w:lineRule="auto"/>
        <w:ind w:left="0" w:right="0" w:firstLine="0"/>
        <w:jc w:val="left"/>
      </w:pPr>
      <w:r>
        <w:fldChar w:fldCharType="begin"/>
        <w:instrText xml:space="preserve"> TOC \o "1-5" \h \z </w:instrText>
        <w:fldChar w:fldCharType="separate"/>
      </w:r>
      <w:hyperlink w:anchor="bookmark6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ВВЕДЕНИЕ</w:t>
          <w:tab/>
          <w:t xml:space="preserve"> 3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74" w:val="left"/>
          <w:tab w:leader="dot" w:pos="8901" w:val="center"/>
        </w:tabs>
        <w:bidi w:val="0"/>
        <w:spacing w:before="0" w:line="240" w:lineRule="auto"/>
        <w:ind w:left="0" w:right="0"/>
        <w:jc w:val="left"/>
      </w:pPr>
      <w:hyperlink w:anchor="bookmark8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УСЛОВИЯ И МЕТОДОЛОГИЯ ИССЛЕДОВАНИЙ</w:t>
          <w:tab/>
          <w:t xml:space="preserve"> 4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94" w:val="left"/>
          <w:tab w:leader="dot" w:pos="8901" w:val="center"/>
        </w:tabs>
        <w:bidi w:val="0"/>
        <w:spacing w:before="0" w:after="12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ОБЗОР ГОРЮЧИХ СЛАНЦЕВ РАЙОНА ИССЛЕДОВАНИЙ: ЛИТОЛОГИЯ, ГЕОГРАФИЯ, ГЕНЕЗИС</w:t>
        <w:tab/>
        <w:t xml:space="preserve"> 6</w:t>
      </w:r>
    </w:p>
    <w:p>
      <w:pPr>
        <w:pStyle w:val="Style12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909" w:val="left"/>
          <w:tab w:leader="dot" w:pos="8901" w:val="center"/>
        </w:tabs>
        <w:bidi w:val="0"/>
        <w:spacing w:before="0" w:after="120" w:line="240" w:lineRule="auto"/>
        <w:ind w:left="0" w:right="0"/>
        <w:jc w:val="left"/>
      </w:pPr>
      <w:hyperlink w:anchor="bookmark1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Общая характеристика</w:t>
          <w:tab/>
          <w:t xml:space="preserve"> 6</w:t>
        </w:r>
      </w:hyperlink>
    </w:p>
    <w:p>
      <w:pPr>
        <w:pStyle w:val="Style12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909" w:val="left"/>
          <w:tab w:leader="dot" w:pos="8901" w:val="center"/>
        </w:tabs>
        <w:bidi w:val="0"/>
        <w:spacing w:before="0" w:line="240" w:lineRule="auto"/>
        <w:ind w:left="0" w:right="0"/>
        <w:jc w:val="left"/>
      </w:pPr>
      <w:hyperlink w:anchor="bookmark12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Средневолжская сланценосная толща</w:t>
          <w:tab/>
          <w:t xml:space="preserve"> 7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98" w:val="left"/>
        </w:tabs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РЕЗУЛЬТАТЫ ИССЛЕДОВАНИЯ ИСКОПАЕМОЙ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9043" w:val="right"/>
        </w:tabs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МАКРОФАУНЫ В СРЕДНЕВОЛЖСКОЙ СЛАНЦЕНОСНОЙ ТОЛЩЕ У Д. ИВКИНО</w:t>
        <w:tab/>
        <w:t xml:space="preserve"> 10</w:t>
      </w:r>
    </w:p>
    <w:p>
      <w:pPr>
        <w:pStyle w:val="Style12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904" w:val="left"/>
          <w:tab w:pos="6243" w:val="center"/>
          <w:tab w:leader="dot" w:pos="8901" w:val="center"/>
        </w:tabs>
        <w:bidi w:val="0"/>
        <w:spacing w:before="0" w:after="120" w:line="240" w:lineRule="auto"/>
        <w:ind w:left="0" w:right="0"/>
        <w:jc w:val="left"/>
      </w:pPr>
      <w:hyperlink w:anchor="bookmark16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Аммониты сланценосной толщи разреза</w:t>
          <w:tab/>
          <w:t>«Ивкино»</w:t>
          <w:tab/>
          <w:t xml:space="preserve"> 10</w:t>
        </w:r>
      </w:hyperlink>
    </w:p>
    <w:p>
      <w:pPr>
        <w:pStyle w:val="Style12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904" w:val="left"/>
          <w:tab w:pos="5629" w:val="center"/>
          <w:tab w:leader="dot" w:pos="8901" w:val="center"/>
        </w:tabs>
        <w:bidi w:val="0"/>
        <w:spacing w:before="0" w:after="120" w:line="240" w:lineRule="auto"/>
        <w:ind w:left="0" w:right="0"/>
        <w:jc w:val="left"/>
      </w:pPr>
      <w:hyperlink w:anchor="bookmark18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 xml:space="preserve">Другие группы моллюсков </w:t>
        </w:r>
        <w:r>
          <w:rPr>
            <w:color w:val="000000"/>
            <w:spacing w:val="0"/>
            <w:w w:val="100"/>
            <w:position w:val="0"/>
            <w:shd w:val="clear" w:color="auto" w:fill="auto"/>
            <w:lang w:val="en-US" w:eastAsia="en-US" w:bidi="en-US"/>
          </w:rPr>
          <w:t xml:space="preserve">(Bivalvia </w:t>
        </w:r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и</w:t>
          <w:tab/>
        </w:r>
        <w:r>
          <w:rPr>
            <w:color w:val="000000"/>
            <w:spacing w:val="0"/>
            <w:w w:val="100"/>
            <w:position w:val="0"/>
            <w:shd w:val="clear" w:color="auto" w:fill="auto"/>
            <w:lang w:val="en-US" w:eastAsia="en-US" w:bidi="en-US"/>
          </w:rPr>
          <w:t>Gastropoda)</w:t>
        </w:r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ab/>
          <w:t xml:space="preserve"> 12</w:t>
        </w:r>
      </w:hyperlink>
    </w:p>
    <w:p>
      <w:pPr>
        <w:pStyle w:val="Style12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896" w:val="left"/>
          <w:tab w:leader="dot" w:pos="8901" w:val="center"/>
        </w:tabs>
        <w:bidi w:val="0"/>
        <w:spacing w:before="0" w:line="240" w:lineRule="auto"/>
        <w:ind w:left="0" w:right="0"/>
        <w:jc w:val="left"/>
      </w:pPr>
      <w:hyperlink w:anchor="bookmark2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Гипотеза о палеоэкологической обстановке средневолжского века на основе состава макрофауны</w:t>
          <w:tab/>
          <w:t xml:space="preserve"> 12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8901" w:val="center"/>
        </w:tabs>
        <w:bidi w:val="0"/>
        <w:spacing w:before="0" w:line="240" w:lineRule="auto"/>
        <w:ind w:left="0" w:right="0" w:firstLine="0"/>
        <w:jc w:val="both"/>
      </w:pPr>
      <w:hyperlink w:anchor="bookmark22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ЗАКЛЮЧЕНИЕ</w:t>
          <w:tab/>
          <w:t xml:space="preserve"> 13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8901" w:val="center"/>
        </w:tabs>
        <w:bidi w:val="0"/>
        <w:spacing w:before="0" w:line="240" w:lineRule="auto"/>
        <w:ind w:left="0" w:right="0" w:firstLine="0"/>
        <w:jc w:val="both"/>
      </w:pPr>
      <w:hyperlink w:anchor="bookmark24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ЛИТЕРАТУРА</w:t>
          <w:tab/>
          <w:t xml:space="preserve"> 14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8901" w:val="center"/>
        </w:tabs>
        <w:bidi w:val="0"/>
        <w:spacing w:before="0" w:line="240" w:lineRule="auto"/>
        <w:ind w:left="0" w:right="0" w:firstLine="0"/>
        <w:jc w:val="both"/>
      </w:pPr>
      <w:hyperlink w:anchor="bookmark26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ru-RU" w:eastAsia="ru-RU" w:bidi="ru-RU"/>
          </w:rPr>
          <w:t>ОБЪЯСНЕНИЕ К ФОТОТАБЛИЦАМ</w:t>
          <w:tab/>
          <w:t xml:space="preserve"> 15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8901" w:val="center"/>
        </w:tabs>
        <w:bidi w:val="0"/>
        <w:spacing w:before="0" w:line="240" w:lineRule="auto"/>
        <w:ind w:left="0" w:right="0" w:firstLine="0"/>
        <w:jc w:val="both"/>
        <w:rPr>
          <w:sz w:val="26"/>
          <w:szCs w:val="26"/>
        </w:rPr>
        <w:sectPr>
          <w:headerReference w:type="default" r:id="rId5"/>
          <w:headerReference w:type="even" r:id="rId6"/>
          <w:headerReference w:type="first" r:id="rId7"/>
          <w:footnotePr>
            <w:pos w:val="pageBottom"/>
            <w:numFmt w:val="decimal"/>
            <w:numRestart w:val="continuous"/>
          </w:footnotePr>
          <w:pgSz w:w="11900" w:h="16840"/>
          <w:pgMar w:top="1129" w:right="938" w:bottom="2055" w:left="1780" w:header="0" w:footer="3" w:gutter="0"/>
          <w:pgNumType w:start="1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ФОТОТАБЛИЦЫ</w:t>
        <w:tab/>
        <w:t xml:space="preserve"> </w:t>
      </w: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en-US" w:eastAsia="en-US" w:bidi="en-US"/>
        </w:rPr>
        <w:t>I-IX</w:t>
      </w:r>
      <w:r>
        <w:fldChar w:fldCharType="end"/>
      </w:r>
    </w:p>
    <w:p>
      <w:pPr>
        <w:pStyle w:val="Style5"/>
        <w:keepNext/>
        <w:keepLines/>
        <w:widowControl w:val="0"/>
        <w:shd w:val="clear" w:color="auto" w:fill="auto"/>
        <w:bidi w:val="0"/>
        <w:spacing w:before="160" w:line="240" w:lineRule="auto"/>
        <w:ind w:left="0" w:right="0" w:firstLine="0"/>
        <w:jc w:val="center"/>
      </w:pPr>
      <w:bookmarkStart w:id="6" w:name="bookmark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ВВЕДЕНИЕ</w:t>
      </w:r>
      <w:bookmarkEnd w:id="6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Юрские отложения Костромской области, в особенности бассейна реки Унжи, интересуют исследователей - геологов, палеонтологов и натуралистов- любителей с конца 18-го - начала 19-го веков. В 1885 году известный российский геолог С. Н. Никитин в своем труде по итогам работы в Костромской губернии написал: «Река Унжа дает превосходный продольный геологический разрез, последовательно обнажая в полноте и совершенстве все ярусы юрского среднерусского бассейна с массой характерных для них ископаемых форм» (Никитин, 1885). Здесь же он впервые упоминает о присутствии в «Унженской юре» характерных сланценосных толщ. В целом, подобный интерес к реке Унже зафиксирован в десятках научных работ и многочисленных коллекциях ископаемых, сохраняющихся в местных и общероссийских музейных научных собраниях. Библиография трудов по юрским ископаемым унженских местонахождений непрерывно увеличивается. Правда, основная масса таких работ посвящена наиболее представительным разрезам келловейского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(J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en-US" w:eastAsia="en-US" w:bidi="en-US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k)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оксфордского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(J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)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ярусов средне- верхней юры. Завершающий юру волжский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(J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en-US" w:eastAsia="en-US" w:bidi="en-US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)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ярус, естественные выходы которого в регионе не столь широко представлены, по-прежнему остается самым слабоизученным. Впервые отложения средневолжского подъяруса с битуминозными сланцами были детально описаны в 1925-м году М. И. Соколовым в разрезе оврага у дер. Ивкино Мантуровского (ныне) района (Соколов, 1929). В 1986 году А. Г. Олферьев выделил волжские отложения Костромской области, представленные толщей горючих сланцев, в костромскую свиту и предложил принять в качестве стратотипических разрезы, вскрывающиеся в оврагах на правобережье р. Унжи (Олферьев, 1986). Среди них - разрез в д. Ивкино, рассматриваемый в нашей работе. До этого времени стратиграфическому и фаунистическому аспектам данного разреза уделялось внимание специалистами Геологического института РАН в 2008 году (Гаврилов и др., 2008; Рогов, 2013).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связи со слабой изученностью биоты средневолжских сланценосных отложений региона, немаловажным делом является пополнение данных о составе ископаемых фаунистических комплексов в наиболее представительных разрезах волжского яруса, в которых особое значение имеют слои высокоуглеродистых (горючих или битуминозных) сланцев. А их принадлежность к реестру полезных ископаемых Костромской области, как потенциального сырья для энергетики, топливной и химической промышленности, добавляет актуальности данной работе. Более того, сбор и накопление сведений о составе и распределении ископаемых организмов горючесланцевых отложений имеет не только научное, но и практическое значение, так как способствует разработке биостратиграфических критериев для поиска и оценки углеводородного сырья.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Цель работы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 получение данных о качественном составе ископаемой макрофауны в толщах высокоуглеродистых сланцев средневолжского подъяруса юрских морских отложений бассейна реки Унжи.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Задачи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: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097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осуществление рекогносцировочных работ и общей оценки состояния наиболее известных выходов средневолжского подъяруса в бассейне реки Унжи;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088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зачистка обнажения, выявление сланценосных толщ, извлечение, фиксация и транспортировка образцов;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097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выявление объектов макрофауны в составе вмещающей породы их укрепление и фотофиксация;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092" w:val="left"/>
        </w:tabs>
        <w:bidi w:val="0"/>
        <w:spacing w:before="0" w:after="12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таксономическая идентификация ископаемых остатков, качественный и количественный анализ выявленного комплекса макрофауны.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Стоит отметить, что собранные в ходе нашей работы образцы ископаемых пополнили геологические фонды отдела природы ОГБУК «Костромской музей-заповедник».</w:t>
      </w:r>
    </w:p>
    <w:p>
      <w:pPr>
        <w:pStyle w:val="Style5"/>
        <w:keepNext/>
        <w:keepLines/>
        <w:widowControl w:val="0"/>
        <w:numPr>
          <w:ilvl w:val="0"/>
          <w:numId w:val="5"/>
        </w:numPr>
        <w:shd w:val="clear" w:color="auto" w:fill="auto"/>
        <w:tabs>
          <w:tab w:pos="348" w:val="left"/>
        </w:tabs>
        <w:bidi w:val="0"/>
        <w:spacing w:before="0" w:after="300" w:line="240" w:lineRule="auto"/>
        <w:ind w:left="0" w:right="0" w:firstLine="0"/>
        <w:jc w:val="center"/>
      </w:pPr>
      <w:bookmarkStart w:id="8" w:name="bookmark8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УСЛОВИЯ И МЕТОДОЛОГИЯ ИССЛЕДОВАНИЙ</w:t>
      </w:r>
      <w:bookmarkEnd w:id="8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Географически пункты исследований сосредоточены в бассейне среднего течения реки Унжи, в 8-10 км южнее г. Мантурово:</w:t>
      </w:r>
    </w:p>
    <w:p>
      <w:pPr>
        <w:pStyle w:val="Style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1092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обнажение, вскрывающее полный разрез зоны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Dorsoplanites panderi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(~5,5 м) в верхней части оврага (высота 43-44 м над урезом реки) между дер. Ивкино и Самылово (рис. 1);</w:t>
      </w:r>
    </w:p>
    <w:p>
      <w:pPr>
        <w:pStyle w:val="Style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1097" w:val="left"/>
        </w:tabs>
        <w:bidi w:val="0"/>
        <w:spacing w:before="0" w:after="12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обнажение в 1 км ниже д. Ивкино в устье оврага (на уровне его базиса эрозии) в месте его соединения с руслом Унжи - крупное скопление вымытых половодьем сланцевых блоков (глыб) вышеупомянутой стратиграфической зоны.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986530" cy="243205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ext cx="3986530" cy="2432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Рис. 1. Локализация месторождений верхнеюрских отложений битуминозных сланцев в бассейне реки Унжи (стрелкой указано местоположение исследуемых выходов средневолжских горючесланцевых толщ).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Полевая часть исследований проводилась в летне-осенний период 2024 года в процессе ряда экспедиционных выездов, включавших в себя поисковую работу по обнаружению выходов пород средневолжского подъяруса в окрестностях дер. Ивкино, согласно наиболее точным опубликованным ориентирам (Гаврилов и др., 2008). Рекогносцировка включала осмотр береговой зоны реки Унжи с многочисленными оврагами, визуальную оценку современного состояния выходов юры, пробную зачистку. Для обнаружения сланценосного пласта производилась зачистка и шурфование на разных уровнях обнажения, начиная снизу. Извлечение палеонтологических образцов, в силу листоватого и плитчатого характера породы, производилось методом раскалывания по плоскостям с помощью молотка, зубила (рис. 2 а, б; 3) или топора. Для консервации и укрепления извлеченных костных остатков применялся метод пропитки ацетоно-эпоксидно-клеевым составом.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37250" cy="268859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ext cx="5937250" cy="2688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Рис. 2. В процессе палеонтологических сборов (фото А. Л. Анциферова). А, Б - выемка образцов сланцевой породы из русловых обвалов, вымытых половодьем; В - зачистка и шурфование сланценосной толщи в разрезе «ивкинского» оврага.</w:t>
      </w:r>
    </w:p>
    <w:p>
      <w:pPr>
        <w:widowControl w:val="0"/>
        <w:spacing w:after="49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Образцы отбирались и методом простого сбора с поверхности обвалов (осыпей) у подножия разреза, из русла реки, так как их наличие здесь свидетельствует о нахождении таковых и в самом пласте, который размывается в периоды половодий (Крымгольц, 1954), а также методом шурфования или заложением небольших закопушек для извлечения остатков из толщи пород (рис. 2-в). При шурфовании производилась привязка к геологическому горизонту слоя, содержащего окаменелости и его положение в геологическом разрезе.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Первичное препарирование фоссилий (более глубокая очистка) производилось непосредственно на месте нахождения, отмывка фиксация и склейка (при необходимости) - в камеральных условиях. В камеральных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условиях производилось, также, определение систематической принадлежности ископаемого, описание формы сохранности, фотографирование образцов и формирование коллекции.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Атрибуция образцов производилась с использованием материалов соответствующих атласов, монографий и статей (Атлас руководящих ..., 1949; Герасимов, 1955; Михайлов, Густомесов, 1964; Герасимов и др., 1995; Гаврилов и др., 2008; Рогов, 2013; Шмаков и др., 2022).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43600" cy="240792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ext cx="5943600" cy="2407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Рис. 3. Выход горючесланцевого пласта в разрезе «Ивкино» до зачистки.</w:t>
      </w:r>
    </w:p>
    <w:p>
      <w:pPr>
        <w:widowControl w:val="0"/>
        <w:spacing w:after="1259" w:line="1" w:lineRule="exact"/>
      </w:pPr>
    </w:p>
    <w:p>
      <w:pPr>
        <w:pStyle w:val="Style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32" w:val="left"/>
        </w:tabs>
        <w:bidi w:val="0"/>
        <w:spacing w:before="0" w:after="32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ОБЗОР ГОРЮЧИХ СЛАНЦЕВ РАЙОНА ИССЛЕДОВАНИЙ:</w:t>
        <w:br/>
        <w:t>ЛИТОЛОГИЯ, ГЕОГРАФИЯ, ГЕНЕЗИС</w:t>
      </w:r>
    </w:p>
    <w:p>
      <w:pPr>
        <w:pStyle w:val="Style5"/>
        <w:keepNext/>
        <w:keepLines/>
        <w:widowControl w:val="0"/>
        <w:numPr>
          <w:ilvl w:val="1"/>
          <w:numId w:val="9"/>
        </w:numPr>
        <w:shd w:val="clear" w:color="auto" w:fill="auto"/>
        <w:tabs>
          <w:tab w:pos="543" w:val="left"/>
        </w:tabs>
        <w:bidi w:val="0"/>
        <w:spacing w:before="0" w:line="240" w:lineRule="auto"/>
        <w:ind w:left="0" w:right="0" w:firstLine="0"/>
        <w:jc w:val="center"/>
      </w:pPr>
      <w:bookmarkStart w:id="10" w:name="bookmark1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Общая характеристика</w:t>
      </w:r>
      <w:bookmarkEnd w:id="1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Геологическом словаре (Геологический словарь ., 1955) горючие (битуминозные) сланцы определяются как «глинистые, песчанистые и известковистые горные породы, обладающие горючими свойствами вследствие присутствия в них продуктов разложения органического вещества. Характеризуются повышенным содержанием водорода (7-8%) и летучих соединений (30-70%), а также значительным выходом битумов. Используются как материал для перегонки и как топливо». Горючие свойства этой породы определяются наличием в ней (условно от 15 до 50%) сапропелевого или гумусово-сапропелевого органического вещества, распределенного в минеральной массе равномерно (Геология месторождений ., 1968). Это вещество путем нагревания сланца до 500° выделяется в виде нефтеподобной смолы (сланцевого масла и горючего газа).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Распространение верхнеюрских сланценосных толщ по территории Костромской области сопоставимо с границами распространения всего пласта верхнеюрских морских отложений в регионе. Бассейн реки Унжи, в данном случае, широко известен как район, изобилующий естественными выходами пород средне- и верхнеюрского возраста на дневную поверхность, благодаря чему, с давних пор является полигоном для самых разных геологических исследований. Ярко выраженные в опорном разрезе у г. Макарьева и в некоторых разрезах выше оксфордские сланценосные горизонты (рис. 4) изучены особенно детально и полно. Данный углеродистый горизонт приурочен к аммонитовой зоне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Amoeboceras glosense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бореальной шкалы оксфорда (Гаврилов и др., 2014).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19470" cy="176149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5919470" cy="1761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Рис. 4. Окфордские сланцы из верхнеюрского обнажения под г. Макарьевым (фото А. Л. Анциферова). А - горючесланцевая толща в разрезе верхнеюрских отложений; Б - остаток раковины аммонита в сланце.</w:t>
      </w:r>
    </w:p>
    <w:p>
      <w:pPr>
        <w:widowControl w:val="0"/>
        <w:spacing w:after="51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Эта зона представлена небольшой толщей серых, слоистых глин, мощностью 4-5 м, с тонкими прослоями битуминозных сланцев (~0,25 м), с включениями конкреций серного колчедана. Для этих отложений характерна тонкая горизонтальная слоистость, связанная с неравномерным распределением фрагментов коллоальгинита (бесструктурное сапропелевое органическое вещество).</w:t>
      </w:r>
    </w:p>
    <w:p>
      <w:pPr>
        <w:pStyle w:val="Style5"/>
        <w:keepNext/>
        <w:keepLines/>
        <w:widowControl w:val="0"/>
        <w:numPr>
          <w:ilvl w:val="1"/>
          <w:numId w:val="9"/>
        </w:numPr>
        <w:shd w:val="clear" w:color="auto" w:fill="auto"/>
        <w:tabs>
          <w:tab w:pos="538" w:val="left"/>
        </w:tabs>
        <w:bidi w:val="0"/>
        <w:spacing w:before="0" w:line="240" w:lineRule="auto"/>
        <w:ind w:left="0" w:right="0" w:firstLine="0"/>
        <w:jc w:val="center"/>
      </w:pPr>
      <w:bookmarkStart w:id="12" w:name="bookmark1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Средневолжская сланценосная толща</w:t>
      </w:r>
      <w:bookmarkEnd w:id="12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Костромской области средневолжские сланценосные отложения сохранилась от последующих размывов в ареале между г. Мантурово, г. Нея и с. Унжа Макарьевского р-на (Щепетова, 2005; Гаврилов и др., 2008) - территория, известная как «Мантуровская группа месторождений волжских горючих сланцев» (Добрянский, 1947). В стратиграфическом плане этот горизонт (мощность колеблется от 0,9 до 8 м) целиком приурочен к аммонитовой зоне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Dorsoplanites panderi.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Для него характерно частое и равномерное переслаивание глин и верхневолжских горючих сланцев. В толще преобладают породы, существенно обогащенные остатками известкового наннопланктона. Наиболее грубые осадочные компоненты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представлены исключительно остатками различных моллюсков (преимущественно известковыми), причем заметно доминирует детрит. Встречаются целые раковины, но больших скоплений не образуют. В толще верхневолжского подъяруса прослои битуминозных сланцев (мощностью 0,05-0,15 м) выделяются своей наиболее темной (серой или бурой) окраской и отчетливо выраженной плитчатой или тонко-листоватой отдельностью. Нижняя граница сланцевых пластов обычно резкая горизонтальная, вверх сланцы постепенно сменяются глинами темно-серой и зеленовато-серой окраски (рис. 5).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целом в московской синеклизе средневолжский подъярус (в отличие от нижне- и верхневолжского) распространен гораздо шире. Его разрез начинается толщей тонколистоватых и плитчатых серых и темно-серых битуминозных горючих сланцев с подчиненными прослоями алевролитов и песчаников. Все породы подъяруса выделены в так называемую костромскую свиту (Олферьев, 1986). За стратотип костромской свиты приняты разрезы на правобережье Унжи в районе деревень Ивкино и Самылово в 10 км ниже г. Мантурово (рис. 1; 6), где описываемые отложения образуют отвесные стенки в бортах многочисленных оврагов.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48655" cy="305435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5748655" cy="305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Рис. 5. Образец плитчатого битуминозного сланца зоны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Dorsoplanites panderi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остатками аммонитовой фауны из разреза д. Ивкино (фото автора).</w:t>
      </w:r>
    </w:p>
    <w:p>
      <w:pPr>
        <w:widowControl w:val="0"/>
        <w:spacing w:after="87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Характер указанного местонахождения описал в 1933 году советский геолог И. И. Кром: «Усугубляя свой базис эрозии до нижневолжского водоносного горизонта, атмосферные текущие воды в соединении с ключами из сланценосной толщи постепенно разрушают и нижележащие более водоупорные оксфордские и келловейские глины. Об интенсивной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эродирующей деятельности воды в этих оврагах свидетельствуют громадные глыбы горючих сланцев, нижневолжских фосфоритизированных песчаников и келловейских известняков, рассеянных по руслам ручьев и даже по пойменному берегу реки Унжи» (Кром, 1933).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82640" cy="218249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5882640" cy="2182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Рис. 6. Состояние стратотипического разреза средневолжского яруса в овраге д. Ивкино на период осени 2024 года (фото автора). А - склон оврага, затянутый оползнем; Б - выявленный при зачистке сланценосный горизонт.</w:t>
      </w:r>
    </w:p>
    <w:p>
      <w:pPr>
        <w:widowControl w:val="0"/>
        <w:spacing w:after="59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Относительно того, в каких физико-географических обстановках формировались сланценосные отложения волжского яруса в настоящее время единого мнения не существует (Туров, 2000). Одни считали, что исходный материал горючих сланцев накапливался в морских лагунах с благоприятными условиями для пышного развития жизни или же в больших морских заливах, отделенных от моря подводными поднятиями (Страхов, 1934). Такой же точки зрения придерживался И. И. Кром, опираясь на собственные исследования проводившиеся в бассейне реки Унжи в 1931-32 гг. Он считал, что «нижневолжские (средневолжские, по современной классификации) горючие сланцы являются продуктом осаждения органических остатков в морских мелководных прибрежных бассейнах и их лагунах. Их битуминозность дает основание предполагать, что нижневолжское море носило мелководный и может даже лагунный характер, при котором создавались особо благоприятные условия для развития обильного органического мира, являющегося необходимой предпосылкой для образования сапропелевых пород» (Кром, 1933). По версии, предложенной Кромом, доминирующую роль в образовании средневолжских горючих сланцев сыграли не водоросли, а животный мир.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тоже время, по мнению А. Н. Розанова (1925) и позже Н. М. Страхова (1934), горючие сланцы являются более или менее типичными морскими сапропелитами, которые накапливались в море на некотором расстоянии от берега. Тем не менее, все исследователи видели причину накопления органического вещества в «пышном развитии жизни» (главным образом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водорослей и в меньшей степени животных организмов), которое происходило в участках бассейна с пониженным содержанием кислорода в воде или даже с сероводородным заражением, что препятствовало разложению органики.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96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более поздние годы, на основе анализа фациального ряда всей совокупности структур средневолжских отложений Русской платформы, А. В. Туров сделал заключение о том, что сланценосные фации являются наиболее глубоководными образованиями и характеризуют морские, удаленные от источников сноса участки бассейна, которые приурочены к днищам иловых впадин (Туров, 1989; 2000). Однако в любом случае отсутствуют сомнения в морском происхождении как волжских, так и оксфордских битуминозных сланцев и в том, что они откладывались в удалении от берега в неглубоком спокойном морском бассейне с нормальным солевым и газовым режимом вод, на что указывает наличие в этих сланцах остатков чрезвычайно разнообразной типичной морской фауны.</w:t>
      </w:r>
    </w:p>
    <w:p>
      <w:pPr>
        <w:pStyle w:val="Style5"/>
        <w:keepNext/>
        <w:keepLines/>
        <w:widowControl w:val="0"/>
        <w:numPr>
          <w:ilvl w:val="0"/>
          <w:numId w:val="11"/>
        </w:numPr>
        <w:shd w:val="clear" w:color="auto" w:fill="auto"/>
        <w:tabs>
          <w:tab w:pos="332" w:val="left"/>
        </w:tabs>
        <w:bidi w:val="0"/>
        <w:spacing w:before="0" w:after="620" w:line="240" w:lineRule="auto"/>
        <w:ind w:left="0" w:right="0" w:firstLine="0"/>
        <w:jc w:val="center"/>
      </w:pPr>
      <w:bookmarkStart w:id="14" w:name="bookmark1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РЕЗУЛЬТАТЫ ИССЛЕДОВАНИЯ ИСКОПАЕМОЙ МАКРОФАУНЫ</w:t>
        <w:br/>
        <w:t>СРЕДНЕВОЛЖСКОЙ СЛАНЦЕНОСНОЙ ТОЛЩИ У Д. ИВКИНО</w:t>
      </w:r>
      <w:bookmarkEnd w:id="14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общей сложности объем материала исследований составил 112 экземпляров макрофауны, из которых 90 экземпляров относится к аммонитовой группе и 22 экз. - другие группы моллюсков. Обследованная сланценосная толща в разрезе «Ивкино» на основании многочисленных находок аммонитов родов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Pavlovia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также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может быть уверенно отнесена к зоне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D. panderi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средневолжского подъяруса. Разнообразие обследованной макрофауны отражено в фототаблицах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I-IX.</w:t>
      </w:r>
    </w:p>
    <w:p>
      <w:pPr>
        <w:pStyle w:val="Style5"/>
        <w:keepNext/>
        <w:keepLines/>
        <w:widowControl w:val="0"/>
        <w:numPr>
          <w:ilvl w:val="1"/>
          <w:numId w:val="11"/>
        </w:numPr>
        <w:shd w:val="clear" w:color="auto" w:fill="auto"/>
        <w:tabs>
          <w:tab w:pos="543" w:val="left"/>
        </w:tabs>
        <w:bidi w:val="0"/>
        <w:spacing w:before="0" w:after="420" w:line="240" w:lineRule="auto"/>
        <w:ind w:left="0" w:right="0" w:firstLine="0"/>
        <w:jc w:val="center"/>
      </w:pPr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Аммониты сланценосной толщи разреза «Ивкино»</w:t>
      </w:r>
      <w:bookmarkEnd w:id="16"/>
    </w:p>
    <w:p>
      <w:pPr>
        <w:pStyle w:val="Style2"/>
        <w:keepNext w:val="0"/>
        <w:keepLines w:val="0"/>
        <w:widowControl w:val="0"/>
        <w:shd w:val="clear" w:color="auto" w:fill="auto"/>
        <w:tabs>
          <w:tab w:pos="1454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 самого начала в истории изучения волжского яруса ключевое значение для его расчленения и корреляции играли аммониты. В данном разрезе аммониты, как и другие формы макрофауны сильно деформированы и не всегда поддаются точной идентификации. Тем не менее наиболее часты (около 90%) находки бореальных (холодноводных) аммонитов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Pavlovia pavlovi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Michalsky,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1890 (рис. 7-а, б) 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причем первые особенно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многочисленны. В нижней части разреза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pavlovi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как правило, мелкие, что вообще характерно для низов зоны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Panderi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Русской платформы (Гаврилов и др., 2008). Только в верхней части разреза встречены относительно крупные экземпляры (фототабл.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I-III).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У небольших по размеру аммонитов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характерные для них признаки обычно слабо выражены, в связи с чем от аммонитов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Pavlovia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сходной величины их отличить сложно, поэтому доля представителей этого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рода в составе комплекса пока не ясна.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dorsoplanus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(Vischniakoff,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1882) (рис. 8-а) был встречен ближе к подошве волжских отложений,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panderi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(Orbigny, 1845)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(рис. 8-б)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несколько выше.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37250" cy="1859280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5937250" cy="1859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Рис. 7. Молодые обороты предположительно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Pavlovia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(А, Б) 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(В).</w:t>
      </w:r>
    </w:p>
    <w:p>
      <w:pPr>
        <w:widowControl w:val="0"/>
        <w:spacing w:after="85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tabs>
          <w:tab w:pos="6816" w:val="left"/>
        </w:tabs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По имеющимся литературным данным в разрезе «Ивкино» встречались единичные экземпляры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 двух стратиграфических уровнях: в нижней части разреза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 scythicus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(Vischniakoff,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1882), и выше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 regularis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Kutek,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1994 (Гаврилов и др,</w:t>
        <w:tab/>
        <w:t>2008; Рогов, 2013).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Представители рода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очень редки в северных районах Русской платформы. Как более теплолюбивые, они преобладают в суббореальных отложениях центральных районов. В ходе настоящих исследований в оползневых фракциях, смытых половодьем, выявлен небольшой экземпляр предположительно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 contradictionis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Ilovaisky,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1941 на онтогенетической стадии двураздельных ребер (рис. 8-в).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37250" cy="1847215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5937250" cy="1847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Рис. 8. Экземпляры раковин аммонитов: а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panderi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;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D. dorsoplanus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;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- предположительно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 contradictionis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</w:p>
    <w:p>
      <w:pPr>
        <w:pStyle w:val="Style5"/>
        <w:keepNext/>
        <w:keepLines/>
        <w:widowControl w:val="0"/>
        <w:numPr>
          <w:ilvl w:val="1"/>
          <w:numId w:val="11"/>
        </w:numPr>
        <w:shd w:val="clear" w:color="auto" w:fill="auto"/>
        <w:tabs>
          <w:tab w:pos="543" w:val="left"/>
        </w:tabs>
        <w:bidi w:val="0"/>
        <w:spacing w:before="0" w:line="240" w:lineRule="auto"/>
        <w:ind w:left="0" w:right="0" w:firstLine="0"/>
        <w:jc w:val="center"/>
      </w:pPr>
      <w:bookmarkStart w:id="18" w:name="bookmark18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Другие группы моллюсков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(Bivalvia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Gastropoda)</w:t>
      </w:r>
      <w:bookmarkEnd w:id="18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дополнение к аммонитам - группе ископаемых организмов, важнейшей для составления зональных стратиграфических шкал, большое значение для расчленения разрезов на границе юры и мела имеют комплексы двустворчатых моллюсков, в особенности рода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семейства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Buchiidae.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Состав ископаемых двустворчатых и брюхоногих моллюсков средневолжской биоты представлен в примерах на рис. 9 и в фототаблицах VI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IX.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Наибольший показатель обилия двустворчатых и брюхоногих моллюсков принадлежит видам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 mosquensis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(Buch,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1844) 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Scurria maeotis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(Eichwald,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1840) соответственно.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37250" cy="289560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5937250" cy="289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Рис. 9. Некоторые представители двустворчатых (а-в) и брюхоногих (г-д) моллюсков сланценосной толщи разреза «Ивкино»: а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 mosquensis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;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 - ядро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B. rugosa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(Fischer,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1830); в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B. russiensis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(Pavlov,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1907);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г-е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Scurria maeotis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</w:p>
    <w:p>
      <w:pPr>
        <w:widowControl w:val="0"/>
        <w:spacing w:after="859" w:line="1" w:lineRule="exact"/>
      </w:pPr>
    </w:p>
    <w:p>
      <w:pPr>
        <w:pStyle w:val="Style5"/>
        <w:keepNext/>
        <w:keepLines/>
        <w:widowControl w:val="0"/>
        <w:numPr>
          <w:ilvl w:val="1"/>
          <w:numId w:val="11"/>
        </w:numPr>
        <w:shd w:val="clear" w:color="auto" w:fill="auto"/>
        <w:tabs>
          <w:tab w:pos="543" w:val="left"/>
        </w:tabs>
        <w:bidi w:val="0"/>
        <w:spacing w:before="0" w:line="240" w:lineRule="auto"/>
        <w:ind w:left="0" w:right="0" w:firstLine="0"/>
        <w:jc w:val="center"/>
      </w:pPr>
      <w:bookmarkStart w:id="20" w:name="bookmark2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Гипотеза о палеоэкологической обстановке средневолжского века</w:t>
        <w:br/>
        <w:t>на основе состава макрофауны</w:t>
      </w:r>
      <w:bookmarkEnd w:id="20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Для макрофауны средневолжских углеродистых сланцев данного месторождения характерно преобладание ювенильных раковин моллюсков (до 5 см), что может быть связано с неблагоприятным влиянием аноксидных обстановок (без присутствия растворенного, но в присутствии химически связанного кислорода). В то же время в некоторых слоях встречается и более богатый комплекс, а из аммонитов наряду с юными формами присутствуют и крупные (10 и более см) раковины взрослых особей (рис. 10) родов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Pavlovia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(преобладают) 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(редко).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45810" cy="271907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5845810" cy="2719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Рис. 10. Пласты горючих сланцев: А - с преобладающей ювенильной фауной; Б - с преобладающей взрослой фауной; В - размерный диапазон раковин аммонитов (от 1-2 до 12-14 см) одного горизонта (на примере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D. dorsoplanus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).</w:t>
      </w:r>
    </w:p>
    <w:p>
      <w:pPr>
        <w:widowControl w:val="0"/>
        <w:spacing w:after="559" w:line="1" w:lineRule="exact"/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Согласно последним литологическим анализам (Гаврилов и др., 2008) считается, что палеоэкологическая обстановка в водоеме во время накопления сланценосной толщи была крайне нестабильной. Во время накопления глинисто-известковых отложений с низким содержанием органического вещества преобладали условия, благоприятные для существования различных форм организмов, характерных для нормально аэрируемых морей. Напротив, при накоплении интенсивно обогащенных органикой осадков условия обитания организмов резко ухудшались. С этим связано преобладание ювенильных форм моллюсков в пластах углеродистых сланцев и резкое падение других форм бентосных и планктонных организмов.</w:t>
      </w:r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bookmarkStart w:id="22" w:name="bookmark2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ЗАКЛЮЧЕНИЕ</w:t>
      </w:r>
      <w:bookmarkEnd w:id="22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Анализ макропалеонтологической характеристики сланценосной толщи разреза «Ивкино» показал, что фауна аммонитов свидетельствует о палеоэкологически неблагоприятных обстановках в бассейне седиментации во время накопления углеродистых осадков.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целом в сланцах зоны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Panderi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разреза «Ивкино» разнообразие моллюсков невелико: преобладают двустворки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гастроподы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Scurria maeotis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аммониты, принадлежащие главным образом роду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Pavlovia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Belemnitida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непосредственно в сланцах не обнаружены, но в небольшом количестве присутствуют в глинистых слоях и представлены только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Acanthoteutis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96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Сравнение макрофаунистического комплекса сланценосной толщи разреза «Ивкино» с аналогичными разрезами в Среднем Поволжье (Рогов, 2013), несмотря на удаленность, показывает их схожесть по характеру зооценоза, что свидетельствует о том, что они отражают одинаковые тенденции в развитии средневолжского бассейна на всей Русской плите.</w:t>
      </w:r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bookmarkStart w:id="24" w:name="bookmark2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ЛИТЕРАТУРА</w:t>
      </w:r>
      <w:bookmarkEnd w:id="24"/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28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Атлас руководящих форм ископаемых фаун СССР. Т.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IX.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Верхний отдел юрской системы / под ред. Г. Я. Крымгольца. М.: Госгеолиздат, 1949. 332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Гаврилов Ю.О., Щепетова М.А., Рогов М.А., Щербинина Е.А. Седиментология, геохимия и биота волжских углеродистых отложений северной части среднерусского моря (Костромская область) // Литология и полезные ископаемые. 2008. №4. С. 396-424.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Гаврилов Ю.О., Щепетова Е.В., Щербинина Е.А. Седиментологические и геохимические обстановки формирования углеродистых толщ в мезозойских палеобассейнах Европейской части России // Георесурсы. Геоэнергетика. Геополитика. 2014. Вып. 1(9). С. 1-30.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Геология месторождений угля и горючих сланцев СССР. Т. 11. Горючие сланцы СССР. М.: Недра, 1968. 608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Геологический словарь. Т. 1. / Под ред. А. Н. Криштофовича. М.: Госгеологтехиздат, 1955. 403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Герасимов П.А. Руководящие ископаемые мезозоя Центральных областей Европейской части СССР. Часть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Пластинчатожаберные, брюхоногие, ладьеногие моллюски и плеченогие юрских отложений. М.: Госгеолтехиздат, 1955. 380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38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Герасимов П.А., Митта В.В., Кочанова М.Д. Ископаемые волжского яруса Центральной России. М.: ВНИГНИ; МГСЮН, 1995. 116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18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Добрянский А.Ф. Горючие сланцы СССР. Л., М.: Гостоптехиздат, 1947. 232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033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Кром И.И. Геологическое строение и условия сланценосности среднего течения р. Унжи в северо-восточной части 71 листа // Известия Московского геологоразведочного треста. Т. 2. Вып. 2. 1933. С. 3-26.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8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Крымгольц Г.Я. Методика сбора и обработки палеонтолого</w:t>
        <w:softHyphen/>
        <w:t>стратиграфического материала: в помощь геологу-стратиграфу. Л.: Изд-во Ленинградского ун-та, 1954. 46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8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Михайлов Н.П., Густомесов В.А. Бореальные позднеюрские головоногие. М.: Наука, 1964. 220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8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Никитин С.Н. Общая геологическая карта России. Лист 71. Кострома, Макарьев (на Унже), Чухлома, Любим // Труды Геологического комитета. 1885. Т. 2, № 1. 218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Олферьев А.Г. Стратиграфия юрских отложений московской синеклизы // Юрские отложения Русской платформы. Сборник научных трудов. Л.: ВНИГРИ, 1986. С. 48-61.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Рогов М.А. Аммониты и инфразональное расчленение зоны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Dorsoplanites panderi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(волжский ярус, верхняя юра) Европейской части России // Доклады Академии наук. 2013. Т. 451. №4. С. 435-440.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Розанов А.Н. Горючие сланцы европейской части СССР // Материалы по общей и прикладной геологии. Вып. 73. Л.: Изд-во Геолком, 1925. С. 1-59.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Сазонов Н.Т. Юрские отложения центральных областей Русской платформы. Л.: Гостоптехиздат, 1957. 155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Соколов М.И. Геологические исследования по р. Унже в 1925 г. // Известия ассоциации научно-исследовательских институтов при физико</w:t>
        <w:softHyphen/>
        <w:t>математическом факультете МГУ. 1929. Т. 2. Вып. 1. С. 5-31.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Страхов Н.М. Горючие сланцы зоны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Perisphinctes panderi d'Orb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(Очерк литологии) // Бюллетень МОИП, отделение геологии. 1934.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T.XII(2).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С. 200-250.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Туров А.В. Об обстановках формирования верхнеюрских горючих сланцев на Русской плите // Известия высших учебных заведений. Геология и разведка. Научно-методический журнал. 2000. №3. М.: МГГА, 2000. С. 9-20.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Шмаков А.С., Дадыкин И.А., Верлатова А.А., Кулагина Л.В. Ископаемые Московского региона. Атлас-определитель. М.: Фитон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XXI,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2022. 400 с.</w:t>
      </w:r>
    </w:p>
    <w:p>
      <w:pPr>
        <w:pStyle w:val="Style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30" w:val="left"/>
        </w:tabs>
        <w:bidi w:val="0"/>
        <w:spacing w:before="0" w:after="96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Щепетова Е.В. Седиментационные и геохимические обстановки формирования толщи волжских горючих сланцев зоны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panderi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северо-западной части московской синеклизы // Юрская система России: проблемы стратиграфии и палеогеографии. Материалы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Всероссийского совещания. М. ГИН РАН, 2005. С. 256-259.</w:t>
      </w:r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bookmarkStart w:id="26" w:name="bookmark2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ОБЪЯСНЕНИЯ К ФОТОТАБЛИЦАМ</w:t>
      </w:r>
      <w:bookmarkEnd w:id="26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I: а-д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dorsoplanus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II: а, в, г, д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dorsoplanus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;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б 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Zaraiskites contradictionis.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III: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а-е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dorsoplanus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IV: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а-к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panderi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а-к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Pavlovia pavlovi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VI: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 mosquensis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dorsoplanus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VII: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 mosquensis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Dorsoplanites dorsoplanus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;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б, в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 mosquensis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;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 russiensis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Scurria maeotis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VIII: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а-в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Buchia mosquensis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;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Scurria maeotis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20"/>
        <w:jc w:val="both"/>
        <w:sectPr>
          <w:footnotePr>
            <w:pos w:val="pageBottom"/>
            <w:numFmt w:val="decimal"/>
            <w:numRestart w:val="continuous"/>
          </w:footnotePr>
          <w:pgSz w:w="11900" w:h="16840"/>
          <w:pgMar w:top="1113" w:right="812" w:bottom="1149" w:left="166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Таблица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IX: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а-ж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Scurria maeotis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</w:p>
    <w:p>
      <w:pPr>
        <w:widowControl w:val="0"/>
        <w:jc w:val="left"/>
        <w:rPr>
          <w:sz w:val="2"/>
          <w:szCs w:val="2"/>
        </w:rPr>
        <w:sectPr>
          <w:headerReference w:type="default" r:id="rId28"/>
          <w:headerReference w:type="even" r:id="rId29"/>
          <w:footnotePr>
            <w:pos w:val="pageBottom"/>
            <w:numFmt w:val="decimal"/>
            <w:numRestart w:val="continuous"/>
          </w:footnotePr>
          <w:pgSz w:w="11900" w:h="16840"/>
          <w:pgMar w:top="1113" w:right="812" w:bottom="1149" w:left="1661" w:header="0" w:footer="721" w:gutter="0"/>
          <w:cols w:space="720"/>
          <w:noEndnote/>
          <w:rtlGutter w:val="0"/>
          <w:docGrid w:linePitch="360"/>
        </w:sectPr>
      </w:pPr>
      <w:r>
        <w:drawing>
          <wp:inline>
            <wp:extent cx="4956175" cy="8949055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ext cx="4956175" cy="8949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="7958" w:h="14050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5053330" cy="8924290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ext cx="5053330" cy="8924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headerReference w:type="default" r:id="rId34"/>
          <w:headerReference w:type="even" r:id="rId35"/>
          <w:footnotePr>
            <w:pos w:val="pageBottom"/>
            <w:numFmt w:val="decimal"/>
            <w:numRestart w:val="continuous"/>
          </w:footnotePr>
          <w:pgSz w:w="11900" w:h="16840"/>
          <w:pgMar w:top="1815" w:right="2035" w:bottom="975" w:left="190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4922520" simplePos="0" relativeHeight="125829378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7967345</wp:posOffset>
                </wp:positionV>
                <wp:extent cx="130810" cy="198120"/>
                <wp:wrapTopAndBottom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810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62821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en-US" w:eastAsia="en-US" w:bidi="en-US"/>
                              </w:rPr>
                              <w:t>,4j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377.30000000000001pt;margin-top:627.35000000000002pt;width:10.300000000000001pt;height:15.6pt;z-index:-125829375;mso-wrap-distance-left:0;mso-wrap-distance-right:387.60000000000002pt" filled="f" stroked="f">
                <v:textbox style="layout-flow:vertical;mso-layout-flow-alt:bottom-to-top"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62821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en-US" w:eastAsia="en-US" w:bidi="en-US"/>
                        </w:rPr>
                        <w:t>,4j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framePr w:w="8870" w:h="14688" w:wrap="notBeside" w:vAnchor="text" w:hAnchor="text" w:x="241" w:y="1"/>
        <w:widowControl w:val="0"/>
        <w:rPr>
          <w:sz w:val="2"/>
          <w:szCs w:val="2"/>
        </w:rPr>
      </w:pPr>
      <w:r>
        <w:drawing>
          <wp:inline>
            <wp:extent cx="5632450" cy="9326880"/>
            <wp:docPr id="33" name="Picut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ext cx="5632450" cy="9326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52400" distR="4751705" simplePos="0" relativeHeight="12582938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82550</wp:posOffset>
                </wp:positionV>
                <wp:extent cx="1033145" cy="201295"/>
                <wp:wrapTopAndBottom/>
                <wp:docPr id="34" name="Shape 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3145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 xml:space="preserve">Таблица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30.pt;margin-top:6.5pt;width:81.350000000000009pt;height:15.85pt;z-index:-125829373;mso-wrap-distance-left:12.pt;mso-wrap-distance-right:374.15000000000003pt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 xml:space="preserve">Таблица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2400" distR="5367020" simplePos="0" relativeHeight="125829382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7025640</wp:posOffset>
                </wp:positionV>
                <wp:extent cx="417830" cy="201295"/>
                <wp:wrapTopAndBottom/>
                <wp:docPr id="36" name="Shape 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C1907"/>
                                <w:left w:val="single" w:sz="0" w:space="0" w:color="1C1907"/>
                                <w:bottom w:val="single" w:sz="0" w:space="0" w:color="1C1907"/>
                                <w:right w:val="single" w:sz="0" w:space="0" w:color="1C1907"/>
                              </w:pBdr>
                              <w:shd w:val="clear" w:color="auto" w:fill="1C190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4E472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5 см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193.90000000000001pt;margin-top:553.20000000000005pt;width:32.899999999999999pt;height:15.85pt;z-index:-125829371;mso-wrap-distance-left:12.pt;mso-wrap-distance-right:422.60000000000002pt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pBdr>
                          <w:top w:val="single" w:sz="0" w:space="0" w:color="1C1907"/>
                          <w:left w:val="single" w:sz="0" w:space="0" w:color="1C1907"/>
                          <w:bottom w:val="single" w:sz="0" w:space="0" w:color="1C1907"/>
                          <w:right w:val="single" w:sz="0" w:space="0" w:color="1C1907"/>
                        </w:pBdr>
                        <w:shd w:val="clear" w:color="auto" w:fill="1C190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4E472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5 см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97170" cy="8869680"/>
            <wp:docPr id="38" name="Picut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ext cx="5297170" cy="886968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framePr w:w="9350" w:h="14122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5937250" cy="8967470"/>
            <wp:docPr id="39" name="Picut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ext cx="5937250" cy="8967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321" w:right="1186" w:bottom="341" w:left="136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4879340" simplePos="0" relativeHeight="12582938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152400</wp:posOffset>
                </wp:positionV>
                <wp:extent cx="1057910" cy="231775"/>
                <wp:wrapTopAndBottom/>
                <wp:docPr id="40" name="Shape 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7910" cy="231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>Таблица V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18.5pt;margin-top:12.pt;width:83.299999999999997pt;height:18.25pt;z-index:-125829369;mso-wrap-distance-left:0;mso-wrap-distance-right:384.19999999999999pt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Таблица 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framePr w:w="8602" w:h="14966" w:wrap="notBeside" w:vAnchor="text" w:hAnchor="text" w:x="375" w:y="1"/>
        <w:widowControl w:val="0"/>
        <w:rPr>
          <w:sz w:val="2"/>
          <w:szCs w:val="2"/>
        </w:rPr>
      </w:pPr>
      <w:r>
        <w:drawing>
          <wp:inline>
            <wp:extent cx="5462270" cy="9503410"/>
            <wp:docPr id="42" name="Picut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ext cx="5462270" cy="9503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237490" distR="4681855" simplePos="0" relativeHeight="125829386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113030</wp:posOffset>
                </wp:positionV>
                <wp:extent cx="1017905" cy="201295"/>
                <wp:wrapTopAndBottom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7905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Таблица VI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34.800000000000004pt;margin-top:8.9000000000000004pt;width:80.150000000000006pt;height:15.85pt;z-index:-125829367;mso-wrap-distance-left:18.699999999999999pt;mso-wrap-distance-right:368.65000000000003pt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>Таблица VI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83150" cy="8961120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4883150" cy="896112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framePr w:w="8496" w:h="14554" w:wrap="notBeside" w:vAnchor="text" w:hAnchor="text" w:x="428" w:y="1"/>
        <w:widowControl w:val="0"/>
        <w:rPr>
          <w:sz w:val="2"/>
          <w:szCs w:val="2"/>
        </w:rPr>
      </w:pPr>
      <w:r>
        <w:drawing>
          <wp:inline>
            <wp:extent cx="5394960" cy="9241790"/>
            <wp:docPr id="46" name="Picut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5394960" cy="9241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271145" distR="5342890" simplePos="0" relativeHeight="125829388" behindDoc="0" locked="0" layoutInCell="1" allowOverlap="1">
                <wp:simplePos x="0" y="0"/>
                <wp:positionH relativeFrom="column">
                  <wp:posOffset>5114290</wp:posOffset>
                </wp:positionH>
                <wp:positionV relativeFrom="paragraph">
                  <wp:posOffset>5980430</wp:posOffset>
                </wp:positionV>
                <wp:extent cx="323215" cy="137160"/>
                <wp:wrapTopAndBottom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215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A4526"/>
                                <w:left w:val="single" w:sz="0" w:space="0" w:color="4A4526"/>
                                <w:bottom w:val="single" w:sz="0" w:space="0" w:color="4A4526"/>
                                <w:right w:val="single" w:sz="0" w:space="0" w:color="4A4526"/>
                              </w:pBdr>
                              <w:shd w:val="clear" w:color="auto" w:fill="4A45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EDA8E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10 см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402.69999999999999pt;margin-top:470.90000000000003pt;width:25.449999999999999pt;height:10.800000000000001pt;z-index:-125829365;mso-wrap-distance-left:21.350000000000001pt;mso-wrap-distance-right:420.69999999999999pt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pBdr>
                          <w:top w:val="single" w:sz="0" w:space="0" w:color="4A4526"/>
                          <w:left w:val="single" w:sz="0" w:space="0" w:color="4A4526"/>
                          <w:bottom w:val="single" w:sz="0" w:space="0" w:color="4A4526"/>
                          <w:right w:val="single" w:sz="0" w:space="0" w:color="4A4526"/>
                        </w:pBdr>
                        <w:shd w:val="clear" w:color="auto" w:fill="4A45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EDA8E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10 см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271145" distR="4535170" simplePos="0" relativeHeight="125829390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30480</wp:posOffset>
                </wp:positionV>
                <wp:extent cx="1130935" cy="201295"/>
                <wp:wrapTopAndBottom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935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 xml:space="preserve">Таблица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VIII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37.649999999999999pt;margin-top:2.3999999999999999pt;width:89.049999999999997pt;height:15.85pt;z-index:-125829363;mso-wrap-distance-left:21.350000000000001pt;mso-wrap-distance-right:357.10000000000002pt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ru-RU" w:eastAsia="ru-RU" w:bidi="ru-RU"/>
                        </w:rPr>
                        <w:t xml:space="preserve">Таблица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VIII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271145" distR="5464810" simplePos="0" relativeHeight="125829392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6041390</wp:posOffset>
                </wp:positionV>
                <wp:extent cx="201295" cy="100330"/>
                <wp:wrapTopAndBottom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A260D"/>
                                <w:left w:val="single" w:sz="0" w:space="0" w:color="2A260D"/>
                                <w:bottom w:val="single" w:sz="0" w:space="0" w:color="2A260D"/>
                                <w:right w:val="single" w:sz="0" w:space="0" w:color="2A260D"/>
                              </w:pBdr>
                              <w:shd w:val="clear" w:color="auto" w:fill="2A260D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EDA8E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en-US" w:eastAsia="en-US" w:bidi="en-US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EDA8E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см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163.90000000000001pt;margin-top:475.69999999999999pt;width:15.85pt;height:7.9000000000000004pt;z-index:-125829361;mso-wrap-distance-left:21.350000000000001pt;mso-wrap-distance-right:430.30000000000001pt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pBdr>
                          <w:top w:val="single" w:sz="0" w:space="0" w:color="2A260D"/>
                          <w:left w:val="single" w:sz="0" w:space="0" w:color="2A260D"/>
                          <w:bottom w:val="single" w:sz="0" w:space="0" w:color="2A260D"/>
                          <w:right w:val="single" w:sz="0" w:space="0" w:color="2A260D"/>
                        </w:pBdr>
                        <w:shd w:val="clear" w:color="auto" w:fill="2A260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EDA8E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en-US" w:eastAsia="en-US" w:bidi="en-US"/>
                        </w:rPr>
                        <w:t xml:space="preserve">2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DEDA8E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см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88865" cy="8997950"/>
            <wp:docPr id="53" name="Picut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4888865" cy="89979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50"/>
      <w:headerReference w:type="even" r:id="rId51"/>
      <w:footnotePr>
        <w:pos w:val="pageBottom"/>
        <w:numFmt w:val="decimal"/>
        <w:numRestart w:val="continuous"/>
      </w:footnotePr>
      <w:pgSz w:w="11900" w:h="16840"/>
      <w:pgMar w:top="1321" w:right="1186" w:bottom="341" w:left="1363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491490</wp:posOffset>
              </wp:positionV>
              <wp:extent cx="125095" cy="9144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4.05000000000001pt;margin-top:38.700000000000003pt;width:9.8499999999999996pt;height:7.2000000000000002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491490</wp:posOffset>
              </wp:positionV>
              <wp:extent cx="125095" cy="9144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314.05000000000001pt;margin-top:38.700000000000003pt;width:9.8499999999999996pt;height:7.2000000000000002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4157345</wp:posOffset>
              </wp:positionH>
              <wp:positionV relativeFrom="page">
                <wp:posOffset>100965</wp:posOffset>
              </wp:positionV>
              <wp:extent cx="128270" cy="88265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327.35000000000002pt;margin-top:7.9500000000000002pt;width:10.1pt;height:6.9500000000000002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460375</wp:posOffset>
              </wp:positionV>
              <wp:extent cx="1021080" cy="152400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108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ru-RU" w:eastAsia="ru-RU" w:bidi="ru-RU"/>
                            </w:rPr>
                            <w:t>Таблица VII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117.60000000000001pt;margin-top:36.25pt;width:80.400000000000006pt;height:12.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Таблица 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4157345</wp:posOffset>
              </wp:positionH>
              <wp:positionV relativeFrom="page">
                <wp:posOffset>100965</wp:posOffset>
              </wp:positionV>
              <wp:extent cx="128270" cy="88265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type="#_x0000_t202" style="position:absolute;margin-left:327.35000000000002pt;margin-top:7.9500000000000002pt;width:10.1pt;height:6.9500000000000002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460375</wp:posOffset>
              </wp:positionV>
              <wp:extent cx="1021080" cy="15240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108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ru-RU" w:eastAsia="ru-RU" w:bidi="ru-RU"/>
                            </w:rPr>
                            <w:t>Таблица VII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117.60000000000001pt;margin-top:36.25pt;width:80.400000000000006pt;height:12.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Таблица 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4157345</wp:posOffset>
              </wp:positionH>
              <wp:positionV relativeFrom="page">
                <wp:posOffset>100965</wp:posOffset>
              </wp:positionV>
              <wp:extent cx="128270" cy="88265"/>
              <wp:wrapNone/>
              <wp:docPr id="25" name="Shape 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327.35000000000002pt;margin-top:7.9500000000000002pt;width:10.1pt;height:6.9500000000000002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460375</wp:posOffset>
              </wp:positionV>
              <wp:extent cx="1021080" cy="152400"/>
              <wp:wrapNone/>
              <wp:docPr id="27" name="Shape 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108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ru-RU" w:eastAsia="ru-RU" w:bidi="ru-RU"/>
                            </w:rPr>
                            <w:t>Таблица VII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117.60000000000001pt;margin-top:36.25pt;width:80.400000000000006pt;height:12.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Таблица 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491490</wp:posOffset>
              </wp:positionV>
              <wp:extent cx="125095" cy="91440"/>
              <wp:wrapNone/>
              <wp:docPr id="29" name="Shape 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type="#_x0000_t202" style="position:absolute;margin-left:314.05000000000001pt;margin-top:38.700000000000003pt;width:9.8499999999999996pt;height:7.2000000000000002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3988435</wp:posOffset>
              </wp:positionH>
              <wp:positionV relativeFrom="page">
                <wp:posOffset>491490</wp:posOffset>
              </wp:positionV>
              <wp:extent cx="125095" cy="91440"/>
              <wp:wrapNone/>
              <wp:docPr id="54" name="Shape 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type="#_x0000_t202" style="position:absolute;margin-left:314.05000000000001pt;margin-top:38.700000000000003pt;width:9.8499999999999996pt;height:7.2000000000000002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4157345</wp:posOffset>
              </wp:positionH>
              <wp:positionV relativeFrom="page">
                <wp:posOffset>100965</wp:posOffset>
              </wp:positionV>
              <wp:extent cx="128270" cy="88265"/>
              <wp:wrapNone/>
              <wp:docPr id="56" name="Shape 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type="#_x0000_t202" style="position:absolute;margin-left:327.35000000000002pt;margin-top:7.9500000000000002pt;width:10.1pt;height:6.9500000000000002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460375</wp:posOffset>
              </wp:positionV>
              <wp:extent cx="1021080" cy="152400"/>
              <wp:wrapNone/>
              <wp:docPr id="58" name="Shape 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108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ru-RU" w:eastAsia="ru-RU" w:bidi="ru-RU"/>
                            </w:rPr>
                            <w:t>Таблица VII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4" type="#_x0000_t202" style="position:absolute;margin-left:117.60000000000001pt;margin-top:36.25pt;width:80.400000000000006pt;height:12.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Таблица 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</w:abstractNum>
  <w:abstractNum w:abstractNumId="2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2"/>
      <w:numFmt w:val="decimal"/>
      <w:lvlText w:val="%1."/>
    </w:lvl>
    <w:lvl w:ilvl="1">
      <w:start w:val="1"/>
      <w:numFmt w:val="decimal"/>
      <w:lvlText w:val="%1.%2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10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1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6">
    <w:name w:val="Заголовок №1_"/>
    <w:basedOn w:val="DefaultParagraphFont"/>
    <w:link w:val="Styl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8">
    <w:name w:val="Колонтитул (2)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1">
    <w:name w:val="Основной текст (2)_"/>
    <w:basedOn w:val="DefaultParagraphFont"/>
    <w:link w:val="Style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13">
    <w:name w:val="Оглавление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7">
    <w:name w:val="Подпись к картинке_"/>
    <w:basedOn w:val="DefaultParagraphFont"/>
    <w:link w:val="Styl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2">
    <w:name w:val="Основной текст"/>
    <w:basedOn w:val="Normal"/>
    <w:link w:val="CharStyle3"/>
    <w:pPr>
      <w:widowControl w:val="0"/>
      <w:shd w:val="clear" w:color="auto" w:fill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5">
    <w:name w:val="Заголовок №1"/>
    <w:basedOn w:val="Normal"/>
    <w:link w:val="CharStyle6"/>
    <w:pPr>
      <w:widowControl w:val="0"/>
      <w:shd w:val="clear" w:color="auto" w:fill="auto"/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7">
    <w:name w:val="Колонтитул (2)"/>
    <w:basedOn w:val="Normal"/>
    <w:link w:val="CharStyle8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0">
    <w:name w:val="Основной текст (2)"/>
    <w:basedOn w:val="Normal"/>
    <w:link w:val="CharStyle11"/>
    <w:pPr>
      <w:widowControl w:val="0"/>
      <w:shd w:val="clear" w:color="auto" w:fill="auto"/>
      <w:spacing w:after="40"/>
      <w:jc w:val="right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12">
    <w:name w:val="Оглавление"/>
    <w:basedOn w:val="Normal"/>
    <w:link w:val="CharStyle13"/>
    <w:pPr>
      <w:widowControl w:val="0"/>
      <w:shd w:val="clear" w:color="auto" w:fill="auto"/>
      <w:spacing w:after="220"/>
      <w:ind w:firstLine="32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16">
    <w:name w:val="Подпись к картинке"/>
    <w:basedOn w:val="Normal"/>
    <w:link w:val="CharStyle17"/>
    <w:pPr>
      <w:widowControl w:val="0"/>
      <w:shd w:val="clear" w:color="auto" w:fill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jpeg"/><Relationship Id="rId9" Type="http://schemas.openxmlformats.org/officeDocument/2006/relationships/image" Target="media/image1.jpeg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2.jpeg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3.jpeg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4.jpeg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5.jpeg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6.jpeg" TargetMode="External"/><Relationship Id="rId20" Type="http://schemas.openxmlformats.org/officeDocument/2006/relationships/image" Target="media/image7.jpeg"/><Relationship Id="rId21" Type="http://schemas.openxmlformats.org/officeDocument/2006/relationships/image" Target="media/image7.jpeg" TargetMode="External"/><Relationship Id="rId22" Type="http://schemas.openxmlformats.org/officeDocument/2006/relationships/image" Target="media/image8.jpeg"/><Relationship Id="rId23" Type="http://schemas.openxmlformats.org/officeDocument/2006/relationships/image" Target="media/image8.jpeg" TargetMode="External"/><Relationship Id="rId24" Type="http://schemas.openxmlformats.org/officeDocument/2006/relationships/image" Target="media/image9.jpeg"/><Relationship Id="rId25" Type="http://schemas.openxmlformats.org/officeDocument/2006/relationships/image" Target="media/image9.jpeg" TargetMode="External"/><Relationship Id="rId26" Type="http://schemas.openxmlformats.org/officeDocument/2006/relationships/image" Target="media/image10.jpeg"/><Relationship Id="rId27" Type="http://schemas.openxmlformats.org/officeDocument/2006/relationships/image" Target="media/image10.jpeg" TargetMode="External"/><Relationship Id="rId28" Type="http://schemas.openxmlformats.org/officeDocument/2006/relationships/header" Target="header4.xml"/><Relationship Id="rId29" Type="http://schemas.openxmlformats.org/officeDocument/2006/relationships/header" Target="header5.xml"/><Relationship Id="rId30" Type="http://schemas.openxmlformats.org/officeDocument/2006/relationships/image" Target="media/image11.jpeg"/><Relationship Id="rId31" Type="http://schemas.openxmlformats.org/officeDocument/2006/relationships/image" Target="media/image11.jpeg" TargetMode="External"/><Relationship Id="rId32" Type="http://schemas.openxmlformats.org/officeDocument/2006/relationships/image" Target="media/image12.jpeg"/><Relationship Id="rId33" Type="http://schemas.openxmlformats.org/officeDocument/2006/relationships/image" Target="media/image12.jpeg" TargetMode="External"/><Relationship Id="rId34" Type="http://schemas.openxmlformats.org/officeDocument/2006/relationships/header" Target="header6.xml"/><Relationship Id="rId35" Type="http://schemas.openxmlformats.org/officeDocument/2006/relationships/header" Target="header7.xml"/><Relationship Id="rId36" Type="http://schemas.openxmlformats.org/officeDocument/2006/relationships/image" Target="media/image13.jpeg"/><Relationship Id="rId37" Type="http://schemas.openxmlformats.org/officeDocument/2006/relationships/image" Target="media/image13.jpeg" TargetMode="External"/><Relationship Id="rId38" Type="http://schemas.openxmlformats.org/officeDocument/2006/relationships/image" Target="media/image14.jpeg"/><Relationship Id="rId39" Type="http://schemas.openxmlformats.org/officeDocument/2006/relationships/image" Target="media/image14.jpeg" TargetMode="External"/><Relationship Id="rId40" Type="http://schemas.openxmlformats.org/officeDocument/2006/relationships/image" Target="media/image15.jpeg"/><Relationship Id="rId41" Type="http://schemas.openxmlformats.org/officeDocument/2006/relationships/image" Target="media/image15.jpeg" TargetMode="External"/><Relationship Id="rId42" Type="http://schemas.openxmlformats.org/officeDocument/2006/relationships/image" Target="media/image16.jpeg"/><Relationship Id="rId43" Type="http://schemas.openxmlformats.org/officeDocument/2006/relationships/image" Target="media/image16.jpeg" TargetMode="External"/><Relationship Id="rId44" Type="http://schemas.openxmlformats.org/officeDocument/2006/relationships/image" Target="media/image17.jpeg"/><Relationship Id="rId45" Type="http://schemas.openxmlformats.org/officeDocument/2006/relationships/image" Target="media/image17.jpeg" TargetMode="External"/><Relationship Id="rId46" Type="http://schemas.openxmlformats.org/officeDocument/2006/relationships/image" Target="media/image18.jpeg"/><Relationship Id="rId47" Type="http://schemas.openxmlformats.org/officeDocument/2006/relationships/image" Target="media/image18.jpeg" TargetMode="External"/><Relationship Id="rId48" Type="http://schemas.openxmlformats.org/officeDocument/2006/relationships/image" Target="media/image19.jpeg"/><Relationship Id="rId49" Type="http://schemas.openxmlformats.org/officeDocument/2006/relationships/image" Target="media/image19.jpeg" TargetMode="External"/><Relationship Id="rId50" Type="http://schemas.openxmlformats.org/officeDocument/2006/relationships/header" Target="header8.xml"/><Relationship Id="rId51" Type="http://schemas.openxmlformats.org/officeDocument/2006/relationships/header" Target="header9.xm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А.Л.</dc:creator>
  <cp:keywords/>
</cp:coreProperties>
</file>