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19D60B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 w:firstLine="0"/>
        <w:jc w:val="center"/>
        <w:textAlignment w:val="auto"/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МИНИСТЕРСТВО ПРОСВЕЩЕНИЯ И НАУКИ КБР</w:t>
      </w:r>
    </w:p>
    <w:p w14:paraId="0D548DD7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 w:firstLine="0"/>
        <w:jc w:val="center"/>
        <w:textAlignment w:val="auto"/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ГОСУДАРСТВЕННОЕ БЮДЖЕТНОЕ УЧРЕЖДЕНИЕ</w:t>
      </w:r>
    </w:p>
    <w:p w14:paraId="01923606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 w:firstLine="0"/>
        <w:jc w:val="center"/>
        <w:textAlignment w:val="auto"/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ДОПОЛНИТЕЛЬНОГО ОБРАЗОВАНИЯ </w:t>
      </w:r>
    </w:p>
    <w:p w14:paraId="45E18E0D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right="0" w:firstLine="0"/>
        <w:jc w:val="center"/>
        <w:textAlignment w:val="auto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«ЭКОЛОГО-БИОЛОГИЧЕСКИЙ ЦЕНТР»</w:t>
      </w:r>
    </w:p>
    <w:p w14:paraId="2915A9D5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center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438DB61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both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4E71E72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both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05C4199B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both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93E55B2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both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947BEB8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both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FFDA2C8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both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50D08D1"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jc w:val="both"/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5BE9CD0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76" w:lineRule="auto"/>
        <w:ind w:left="0" w:right="0" w:firstLine="0"/>
        <w:jc w:val="center"/>
        <w:textAlignment w:val="auto"/>
        <w:rPr>
          <w:rStyle w:val="7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Times New Roman" w:hAnsi="Times New Roman" w:eastAsia="Segoe UI"/>
          <w:b/>
          <w:bCs/>
          <w:i w:val="0"/>
          <w:iCs w:val="0"/>
          <w:color w:val="0F1115"/>
          <w:spacing w:val="0"/>
          <w:sz w:val="28"/>
          <w:szCs w:val="28"/>
          <w:shd w:val="clear" w:fill="FFFFFF"/>
        </w:rPr>
        <w:t>ЭКОЛОГИЧЕСКИЙ МОНИТОРИНГ ПРИРОДНОГО ФОНА СОДЕРЖАНИЯ ТЯЖЕЛЫХ МЕТАЛЛОВ В ПОВЕРХНОСТНЫХ ВОДАХ БАССЕЙНА РЕКИ ХАЗНИДОН (ЦЕНТРАЛЬНЫЙ КАВКАЗ)</w:t>
      </w:r>
    </w:p>
    <w:p w14:paraId="2F5A4D28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C972E79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24180C95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</w:pP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  <w:lang w:val="ru-RU"/>
        </w:rPr>
        <w:t>Автор: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Ашин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ова 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Санита Артуровна, 8 класс</w:t>
      </w:r>
    </w:p>
    <w:p w14:paraId="37BA87C4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  <w:lang w:val="ru-RU"/>
        </w:rPr>
        <w:t>Руководитель: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Берданова Е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лена 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И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вановна, педагог дополнительного образования, 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Эколого-биологический центр Минпросвещения КБР, г. Нальчик</w:t>
      </w:r>
    </w:p>
    <w:p w14:paraId="74F2A30E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 w:firstLine="0"/>
        <w:jc w:val="both"/>
        <w:textAlignment w:val="auto"/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</w:pP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  <w:lang w:val="ru-RU"/>
        </w:rPr>
        <w:t>Консультанты:</w:t>
      </w:r>
      <w:r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Реутова Нина Васильевна, доктор биологических наук, ведущий научный сотрудник Центра географических исследований «Федерального научного центра «Кабардино-Балкарский научный центр РАН»;</w:t>
      </w:r>
    </w:p>
    <w:p w14:paraId="62CE94EA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right="0" w:firstLine="0"/>
        <w:jc w:val="both"/>
        <w:textAlignment w:val="auto"/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</w:pPr>
      <w:r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ab/>
      </w:r>
      <w:r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ab/>
      </w:r>
      <w:r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  Реутова Татьяна Васильевна – с.н.с. Центра географических исследований КБНЦ РАН</w:t>
      </w:r>
    </w:p>
    <w:p w14:paraId="36748186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017089A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42FCCDE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6A6AE38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8D59104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594A31B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FAE3BD1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330ED61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both"/>
        <w:rPr>
          <w:rStyle w:val="5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D0705F8">
      <w:pPr>
        <w:pStyle w:val="10"/>
        <w:keepNext w:val="0"/>
        <w:keepLines w:val="0"/>
        <w:widowControl/>
        <w:suppressLineNumbers w:val="0"/>
        <w:shd w:val="clear" w:fill="FFFFFF"/>
        <w:spacing w:before="192" w:beforeAutospacing="0" w:after="192" w:afterAutospacing="0"/>
        <w:ind w:left="0" w:right="0" w:firstLine="0"/>
        <w:jc w:val="center"/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г.о. Нальчик, </w:t>
      </w:r>
      <w:r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Кабардино-Балкарская Республика, </w:t>
      </w:r>
      <w:r>
        <w:rPr>
          <w:rStyle w:val="5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2025</w:t>
      </w:r>
    </w:p>
    <w:p w14:paraId="05D4A934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4"/>
          <w:szCs w:val="24"/>
          <w:shd w:val="clear" w:fill="FFFFFF"/>
        </w:rPr>
        <w:sectPr>
          <w:pgSz w:w="11906" w:h="16838"/>
          <w:pgMar w:top="1134" w:right="1134" w:bottom="1134" w:left="1134" w:header="720" w:footer="720" w:gutter="0"/>
          <w:cols w:space="720" w:num="1"/>
          <w:docGrid w:linePitch="360" w:charSpace="0"/>
        </w:sectPr>
      </w:pPr>
    </w:p>
    <w:p w14:paraId="0EB8943B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4"/>
          <w:szCs w:val="24"/>
        </w:rPr>
      </w:pPr>
      <w:r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4"/>
          <w:szCs w:val="24"/>
          <w:shd w:val="clear" w:fill="FFFFFF"/>
        </w:rPr>
        <w:t>Аннотация</w:t>
      </w:r>
    </w:p>
    <w:p w14:paraId="01A254F9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В работе представлены результаты комплексного эколого-геохимического мониторинга вод реки Хазнидон, расположенной на территории Кабардино-Балкарского высокогорного заповедника. Методом атомно-абсорбционной спектрофотометрии определены концентрации 11 микроэлементов II–IV классов опасности. Установлено, что превышение рыбохозяйственных ПДК по меди и цинку имеет природный генезис и обусловлено геохимическими особенностями пород водосборного бассейна. Получены репрезентативные фоновые данные по микрокомпонентному составу вод, характеризующиеся минимальным уровнем антропогенного воздействия. Результаты исследования имеют практическое значение для разработки системы экологического мониторинга и стратегий устойчивого природопользования в высокогорных регионах.</w:t>
      </w:r>
    </w:p>
    <w:p w14:paraId="5B9470B3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Ключевые слова:</w:t>
      </w:r>
      <w:r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экологический мониторинг, тяжелые металлы, природное загрязнение, водные ресурсы, фоновые концентрации, Кабардино-Балкарский заповедник, река Хазнидон.</w:t>
      </w:r>
    </w:p>
    <w:p w14:paraId="7D22A68F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br w:type="page"/>
      </w:r>
    </w:p>
    <w:p w14:paraId="18014A45"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СОДЕРЖАНИЕ</w:t>
      </w:r>
    </w:p>
    <w:p w14:paraId="57D483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</w:p>
    <w:tbl>
      <w:tblPr>
        <w:tblStyle w:val="4"/>
        <w:tblpPr w:leftFromText="180" w:rightFromText="180" w:vertAnchor="text" w:horzAnchor="page" w:tblpX="1266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0"/>
        <w:gridCol w:w="644"/>
      </w:tblGrid>
      <w:tr w14:paraId="233F22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5C03E780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-108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644" w:type="dxa"/>
            <w:noWrap w:val="0"/>
            <w:vAlign w:val="center"/>
          </w:tcPr>
          <w:p w14:paraId="7F6EF09D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14:paraId="41A19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520" w:type="dxa"/>
            <w:noWrap w:val="0"/>
            <w:vAlign w:val="center"/>
          </w:tcPr>
          <w:p w14:paraId="05FF833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ГЛАВА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caps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aps/>
                <w:color w:val="000000"/>
                <w:sz w:val="24"/>
                <w:szCs w:val="24"/>
                <w:lang w:val="ru-RU"/>
              </w:rPr>
              <w:t>АНАЛИЗ ОБЛАСТИ ИССЛЕДОВАНИЯ</w:t>
            </w:r>
          </w:p>
        </w:tc>
        <w:tc>
          <w:tcPr>
            <w:tcW w:w="644" w:type="dxa"/>
            <w:noWrap w:val="0"/>
            <w:vAlign w:val="center"/>
          </w:tcPr>
          <w:p w14:paraId="43C324B8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14:paraId="45298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8520" w:type="dxa"/>
            <w:noWrap w:val="0"/>
            <w:vAlign w:val="center"/>
          </w:tcPr>
          <w:p w14:paraId="35AFCB8A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-108"/>
              <w:textAlignment w:val="auto"/>
              <w:rPr>
                <w:rFonts w:hint="default" w:ascii="Times New Roman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ГЛАВА </w:t>
            </w:r>
            <w:r>
              <w:rPr>
                <w:rFonts w:hint="default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caps/>
                <w:color w:val="000000"/>
                <w:sz w:val="24"/>
                <w:szCs w:val="24"/>
              </w:rPr>
              <w:t>МАТЕРИАЛЫ и методы ИССЛЕДОВАНИЯ</w:t>
            </w:r>
          </w:p>
        </w:tc>
        <w:tc>
          <w:tcPr>
            <w:tcW w:w="644" w:type="dxa"/>
            <w:noWrap w:val="0"/>
            <w:vAlign w:val="center"/>
          </w:tcPr>
          <w:p w14:paraId="34A92B6A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14:paraId="018BB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4FE698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61" w:firstLineChars="150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cap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eastAsia="SimSun" w:cs="Times New Roman"/>
                <w:b/>
                <w:caps/>
                <w:color w:val="000000"/>
                <w:sz w:val="24"/>
                <w:szCs w:val="24"/>
              </w:rPr>
              <w:t>.1</w:t>
            </w:r>
            <w:r>
              <w:rPr>
                <w:rFonts w:hint="default" w:ascii="Times New Roman" w:hAnsi="Times New Roman" w:eastAsia="SimSun" w:cs="Times New Roman"/>
                <w:caps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</w:rPr>
              <w:t>Объект исследования</w:t>
            </w:r>
          </w:p>
        </w:tc>
        <w:tc>
          <w:tcPr>
            <w:tcW w:w="644" w:type="dxa"/>
            <w:noWrap w:val="0"/>
            <w:vAlign w:val="center"/>
          </w:tcPr>
          <w:p w14:paraId="416F79A2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14:paraId="549190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432A6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61" w:firstLineChars="150"/>
              <w:textAlignment w:val="auto"/>
              <w:rPr>
                <w:rFonts w:hint="default" w:ascii="Times New Roman" w:hAnsi="Times New Roman" w:cs="Times New Roman"/>
                <w:caps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.2</w:t>
            </w:r>
            <w:r>
              <w:rPr>
                <w:rFonts w:hint="default" w:ascii="Times New Roman" w:hAnsi="Times New Roman" w:cs="Times New Roman"/>
                <w:cap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val="none"/>
              </w:rPr>
              <w:t>Материалы и методы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u w:val="none"/>
                <w:lang w:val="ru-RU"/>
              </w:rPr>
              <w:t xml:space="preserve"> исследования</w:t>
            </w:r>
          </w:p>
        </w:tc>
        <w:tc>
          <w:tcPr>
            <w:tcW w:w="644" w:type="dxa"/>
            <w:noWrap w:val="0"/>
            <w:vAlign w:val="center"/>
          </w:tcPr>
          <w:p w14:paraId="654632E2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14:paraId="391753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4453F65D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-108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ГЛАВА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hint="default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caps/>
                <w:color w:val="000000"/>
                <w:sz w:val="24"/>
                <w:szCs w:val="24"/>
              </w:rPr>
              <w:t xml:space="preserve">РЕЗУЛЬТАТЫ ИССЛЕДОВАНИЙ И </w:t>
            </w:r>
            <w:r>
              <w:rPr>
                <w:rFonts w:hint="default" w:cs="Times New Roman"/>
                <w:bCs/>
                <w:caps/>
                <w:color w:val="000000"/>
                <w:sz w:val="24"/>
                <w:szCs w:val="24"/>
                <w:lang w:val="ru-RU"/>
              </w:rPr>
              <w:t>ОБСУЖДЕНИЕ</w:t>
            </w:r>
          </w:p>
        </w:tc>
        <w:tc>
          <w:tcPr>
            <w:tcW w:w="644" w:type="dxa"/>
            <w:noWrap w:val="0"/>
            <w:vAlign w:val="center"/>
          </w:tcPr>
          <w:p w14:paraId="4003525A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14:paraId="04AD88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37919DD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360" w:lineRule="auto"/>
              <w:jc w:val="both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sz w:val="24"/>
                <w:szCs w:val="24"/>
                <w:lang w:val="en-US"/>
              </w:rPr>
              <w:t xml:space="preserve">ГЛАВА IV.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4"/>
                <w:szCs w:val="24"/>
                <w:lang w:val="en-US"/>
              </w:rPr>
              <w:t>РЕКРЕАЦИОННАЯ ЗНАЧИМОСТЬ ТЕРРИТОРИИ НА ОСНОВЕ РЕЗУЛЬТАТОВ ЭКОЛОГИЧЕСКОЙ ОЦЕНКИ</w:t>
            </w:r>
          </w:p>
        </w:tc>
        <w:tc>
          <w:tcPr>
            <w:tcW w:w="644" w:type="dxa"/>
            <w:noWrap w:val="0"/>
            <w:vAlign w:val="center"/>
          </w:tcPr>
          <w:p w14:paraId="257AA3DD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14:paraId="0C8366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1311B25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360" w:lineRule="auto"/>
              <w:ind w:firstLine="361" w:firstLineChars="150"/>
              <w:jc w:val="both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SimSun"/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rFonts w:hint="default" w:ascii="Times New Roman" w:hAnsi="Times New Roman" w:eastAsia="SimSun"/>
                <w:b/>
                <w:bCs/>
                <w:sz w:val="24"/>
                <w:szCs w:val="24"/>
                <w:lang w:val="ru-RU"/>
              </w:rPr>
              <w:t>.</w:t>
            </w:r>
            <w:r>
              <w:rPr>
                <w:rFonts w:hint="default" w:ascii="Times New Roman" w:hAnsi="Times New Roman" w:eastAsia="SimSun"/>
                <w:b/>
                <w:bCs/>
                <w:sz w:val="24"/>
                <w:szCs w:val="24"/>
                <w:lang w:val="en-US"/>
              </w:rPr>
              <w:t xml:space="preserve">1 </w:t>
            </w:r>
            <w:r>
              <w:rPr>
                <w:rFonts w:hint="default" w:ascii="Times New Roman" w:hAnsi="Times New Roman" w:eastAsia="SimSun"/>
                <w:b w:val="0"/>
                <w:bCs w:val="0"/>
                <w:sz w:val="24"/>
                <w:szCs w:val="24"/>
                <w:lang w:val="en-US"/>
              </w:rPr>
              <w:t>Природные достопримечательности, подчеркнутые исследованием</w:t>
            </w:r>
          </w:p>
        </w:tc>
        <w:tc>
          <w:tcPr>
            <w:tcW w:w="644" w:type="dxa"/>
            <w:noWrap w:val="0"/>
            <w:vAlign w:val="center"/>
          </w:tcPr>
          <w:p w14:paraId="5C0EC557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14:paraId="4A2CBB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24F2279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360" w:lineRule="auto"/>
              <w:ind w:firstLine="361" w:firstLineChars="150"/>
              <w:jc w:val="both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SimSun"/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rFonts w:hint="default" w:ascii="Times New Roman" w:hAnsi="Times New Roman" w:eastAsia="SimSun"/>
                <w:b/>
                <w:bCs/>
                <w:sz w:val="24"/>
                <w:szCs w:val="24"/>
                <w:lang w:val="ru-RU"/>
              </w:rPr>
              <w:t>.</w:t>
            </w:r>
            <w:r>
              <w:rPr>
                <w:rFonts w:hint="default" w:ascii="Times New Roman" w:hAnsi="Times New Roman" w:eastAsia="SimSun"/>
                <w:b/>
                <w:bCs/>
                <w:sz w:val="24"/>
                <w:szCs w:val="24"/>
                <w:lang w:val="en-US"/>
              </w:rPr>
              <w:t xml:space="preserve">2 </w:t>
            </w:r>
            <w:r>
              <w:rPr>
                <w:rFonts w:hint="default" w:ascii="Times New Roman" w:hAnsi="Times New Roman" w:eastAsia="SimSun"/>
                <w:b w:val="0"/>
                <w:bCs w:val="0"/>
                <w:sz w:val="24"/>
                <w:szCs w:val="24"/>
                <w:lang w:val="en-US"/>
              </w:rPr>
              <w:t>Культурные и исторические достопримечательности, усиленные чистотой природы</w:t>
            </w:r>
          </w:p>
        </w:tc>
        <w:tc>
          <w:tcPr>
            <w:tcW w:w="644" w:type="dxa"/>
            <w:noWrap w:val="0"/>
            <w:vAlign w:val="center"/>
          </w:tcPr>
          <w:p w14:paraId="05D32653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14:paraId="7520D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45C4128C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-108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cs="Times New Roman"/>
                <w:b/>
                <w:bCs/>
                <w:sz w:val="24"/>
                <w:szCs w:val="24"/>
                <w:lang w:val="ru-RU"/>
              </w:rPr>
              <w:t>ВЫВОДЫ</w:t>
            </w:r>
          </w:p>
        </w:tc>
        <w:tc>
          <w:tcPr>
            <w:tcW w:w="644" w:type="dxa"/>
            <w:noWrap w:val="0"/>
            <w:vAlign w:val="center"/>
          </w:tcPr>
          <w:p w14:paraId="171F1E13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14:paraId="79622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01058F6F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-108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Библиографический список</w:t>
            </w:r>
          </w:p>
        </w:tc>
        <w:tc>
          <w:tcPr>
            <w:tcW w:w="644" w:type="dxa"/>
            <w:noWrap w:val="0"/>
            <w:vAlign w:val="center"/>
          </w:tcPr>
          <w:p w14:paraId="6CC20C7E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14:paraId="6846F7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center"/>
          </w:tcPr>
          <w:p w14:paraId="07742E45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-108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000000"/>
                <w:sz w:val="24"/>
                <w:szCs w:val="24"/>
                <w:lang w:val="ru-RU"/>
              </w:rPr>
              <w:t>ПРИЛОЖЕНИЕ</w:t>
            </w:r>
          </w:p>
        </w:tc>
        <w:tc>
          <w:tcPr>
            <w:tcW w:w="644" w:type="dxa"/>
            <w:noWrap w:val="0"/>
            <w:vAlign w:val="center"/>
          </w:tcPr>
          <w:p w14:paraId="19497092"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</w:tr>
    </w:tbl>
    <w:p w14:paraId="73ED47CD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0"/>
        <w:jc w:val="center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bookmarkStart w:id="0" w:name="_GoBack"/>
      <w:bookmarkEnd w:id="0"/>
    </w:p>
    <w:p w14:paraId="1D7F2564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0"/>
        <w:jc w:val="center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00646F8">
      <w:pP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br w:type="page"/>
      </w:r>
    </w:p>
    <w:p w14:paraId="5594164A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ind w:left="0" w:right="0" w:firstLine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</w:rPr>
      </w:pPr>
      <w:r>
        <w:rPr>
          <w:rFonts w:hint="default" w:ascii="Times New Roman" w:hAnsi="Times New Roman" w:eastAsia="Segoe UI" w:cs="Times New Roman"/>
          <w:b/>
          <w:bCs/>
          <w:color w:val="0F1115"/>
          <w:spacing w:val="0"/>
          <w:sz w:val="28"/>
          <w:szCs w:val="28"/>
          <w:shd w:val="clear" w:fill="FFFFFF"/>
        </w:rPr>
        <w:t>ВВЕДЕНИЕ</w:t>
      </w:r>
    </w:p>
    <w:p w14:paraId="2DD9F3BA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Горные экосистемы Кавказа отличаются высокой чувствительностью к естественным и антропогенным воздействиям, что определяет необходимость организации системного экологического мониторинга за состоянием их ключевых компонентов, в том числе водных ресурсов. Река Хазнидон, протекающая по территории Кабардино-Балкарского высокогорного заповедника, представляет собой уникальный объект для изучения фонового химического состава вод в условиях минимального антропогенного влияния [1].</w:t>
      </w:r>
    </w:p>
    <w:p w14:paraId="449FB17C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</w:rPr>
        <w:t>Актуальность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</w:rPr>
        <w:t xml:space="preserve"> исследования обусловлена необходимостью получения современных репрезентативных данных о качестве водных ресурсов в труднодоступных высокогорных районах, служащих эталоном для оценки антропогенного воздействия в других регионах. Мониторинг содержания тяжелых металлов в поверхностных водах важен для прогнозирования экологических рисков и обеспечения экологической безопасности.</w:t>
      </w:r>
    </w:p>
    <w:p w14:paraId="74C14A7C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</w:rPr>
        <w:t>Цель работы:</w:t>
      </w:r>
      <w:r>
        <w:rPr>
          <w:rStyle w:val="7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эколого-геохимическ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ая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оценк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состояния водных ресурсов бассейна реки Хазнидон путем определения содержания тяжелых металлов и установления их природных фоновых концентраций.</w:t>
      </w:r>
    </w:p>
    <w:p w14:paraId="116FCD66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</w:rPr>
        <w:t>Задачи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  <w:lang w:val="ru-RU"/>
        </w:rPr>
        <w:t>: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  <w:t xml:space="preserve"> Осуществить отбор проб воды в верховьях реки Хазнидон и её притоков в период максимального стока.</w:t>
      </w:r>
    </w:p>
    <w:p w14:paraId="2E652449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  <w:t>Провести органолептический анализ отобранных проб и определить основные физико-химические показатели (pH, прозрачность).</w:t>
      </w:r>
    </w:p>
    <w:p w14:paraId="10620279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  <w:t>Методом атомно-абсорбционной спектрофотометрии определить концентрации 11 тяжелых металлов (Ag, Cd, Mo, Pb, As, Al, Cu, Cr, Mn, Ni, Zn).</w:t>
      </w:r>
    </w:p>
    <w:p w14:paraId="2BEE1F18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  <w:t>Провести сравнительный анализ полученных данных с кларковыми значениями для речных вод и действующими нормативами (ПДК).</w:t>
      </w:r>
    </w:p>
    <w:p w14:paraId="01A21C9C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u w:val="none"/>
          <w:shd w:val="clear" w:fill="FFFFFF"/>
          <w:lang w:val="ru-RU"/>
        </w:rPr>
        <w:t>Оценить экологическое состояние водотока и его рекреационный потенциал на основе результатов проведенного мониторинга.</w:t>
      </w:r>
    </w:p>
    <w:p w14:paraId="25CFAD3A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</w:rPr>
      </w:pPr>
      <w:r>
        <w:rPr>
          <w:rFonts w:hint="default" w:ascii="Times New Roman" w:hAnsi="Times New Roman" w:eastAsia="Segoe UI" w:cs="Times New Roman"/>
          <w:b w:val="0"/>
          <w:bCs w:val="0"/>
          <w:caps w:val="0"/>
          <w:color w:val="0F1115"/>
          <w:spacing w:val="0"/>
          <w:sz w:val="28"/>
          <w:szCs w:val="28"/>
          <w:u w:val="single"/>
          <w:shd w:val="clear" w:fill="FFFFFF"/>
        </w:rPr>
        <w:t>Материалы и методы</w:t>
      </w:r>
    </w:p>
    <w:p w14:paraId="3AAE7094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Полевые исследования проводились в июне 2024 года в верховьях реки Хазнидон и её притока Лахумедон. </w:t>
      </w:r>
    </w:p>
    <w:p w14:paraId="29A0B960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Отбор проб осуществлялся в 5 пунктах, включающих основные русла и родники. Для анализа содержания тяжелых металлов применялся метод атомно-абсорбционной спектрофотометрии с электротермической атомизацией на приборе МГА-915.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ab/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Органолептические показатели оценивались в соответствии с ГОСТ 2874-82.</w:t>
      </w:r>
    </w:p>
    <w:p w14:paraId="431E34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Научная новизна заключается в получении первых репрезентативных данных по микрокомпонентному составу вод Хазнидона.</w:t>
      </w:r>
    </w:p>
    <w:p w14:paraId="079DF9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/>
          <w:sz w:val="28"/>
          <w:szCs w:val="28"/>
        </w:rPr>
        <w:t>Работа выпонена на базах: Эколого-биологического центра Кбардино-Балкарской республики; Кабардино-Балкарского Высокогорного заповедника; Кабардино-Балкарского научного центра РАН.</w:t>
      </w: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 w14:paraId="0F72A6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color w:val="000000"/>
          <w:sz w:val="28"/>
          <w:szCs w:val="28"/>
        </w:rPr>
        <w:t xml:space="preserve">ГЛАВА </w:t>
      </w:r>
      <w:r>
        <w:rPr>
          <w:rFonts w:hint="default" w:ascii="Times New Roman" w:hAnsi="Times New Roman" w:eastAsia="SimSun" w:cs="Times New Roman"/>
          <w:b/>
          <w:color w:val="000000"/>
          <w:sz w:val="28"/>
          <w:szCs w:val="28"/>
          <w:lang w:val="en-US"/>
        </w:rPr>
        <w:t>I</w:t>
      </w:r>
      <w:r>
        <w:rPr>
          <w:rFonts w:hint="default" w:ascii="Times New Roman" w:hAnsi="Times New Roman" w:eastAsia="SimSun" w:cs="Times New Roman"/>
          <w:b/>
          <w:color w:val="000000"/>
          <w:sz w:val="28"/>
          <w:szCs w:val="28"/>
        </w:rPr>
        <w:t xml:space="preserve">. </w:t>
      </w:r>
      <w:r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  <w:lang w:val="ru-RU"/>
        </w:rPr>
        <w:t>АНАЛИЗ ОБЛАСТИ ИССЛЕДОВАНИЯ</w:t>
      </w:r>
    </w:p>
    <w:p w14:paraId="4C73F76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Chars="0" w:right="0" w:rightChars="0" w:firstLine="709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 xml:space="preserve">Территорию Кабардино-Балкарской Республики прорезает разветвленная гидрологическая сеть, основу которой составляют реки, берущие начало в ледниках. К числу наиболее значительных водотоков относятся Чегем, Черек-Безенгийский, Черек-Балкарский,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Баксан, Малка, </w:t>
      </w:r>
      <w:r>
        <w:rPr>
          <w:rFonts w:hint="default" w:ascii="Times New Roman" w:hAnsi="Times New Roman" w:eastAsia="SimSun"/>
          <w:sz w:val="28"/>
          <w:szCs w:val="28"/>
        </w:rPr>
        <w:t>Сукан-Су и Хазнидон. Кроме того, в регионе отмечаются выходы на поверхность минеральных источников. Формирование специфического химического состава вод горных рек является результатом многовекового воздействия комплекса природных процессов. Таяние ледников, эрозия склонов, размыв аллювиальных наносов, селевые потоки и оползни, трансформируемые поверхностным и подземным стоком, создают уникальный гидрохимический облик каждой реки [2]. В верховьях потенциальными источниками поступления веществ могут служить естественные геодинамические явления (обвалы, оползни), а также дренажные и ливневые воды, особенно в районах исторической или современной добычи полезных ископаемых с наличием хвостохранилищ. В нижнем течении основную экологическую угрозу часто представляет неудовлетворительное санитарное состояние речных пойм.</w:t>
      </w:r>
    </w:p>
    <w:p w14:paraId="05DA030A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Chars="0" w:right="0" w:rightChars="0" w:firstLine="709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В ходе эволюции живые организмы адаптировались к определенному химическому составу среды обитания. Эта адаптация обуславливает, с одной стороны, значительное разнообразие химического состава биоты, а с другой — делает организмы высокочувствительными к колебаниям концентраций ключевых элементов в экосистеме.</w:t>
      </w:r>
    </w:p>
    <w:p w14:paraId="74DA9123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Chars="0" w:right="0" w:rightChars="0"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Неоднородность химического состава земной коры приводит к формированию участков с аномально высоким или низким содержанием определенных элементов. Такие территории, вызывающие специфические биологические реакции у местной флоры и фауны, определяются как биогеохимические провинции. Концепция геохимических провинций, разработанная на основе биосферного учения В.И. Вернадского, устанавливает прямую взаимосвязь между содержанием химических элементов в трофических цепях и функциональным состоянием живых организмов [2]. Особую роль среди химических факторов среды играют экотоксиканты — устойчивые загрязняющие вещества, способные к миграции, длительному сохранению и накоплению в биотических и абиотических компонентах экосистем. При концентрациях, превышающих естественный природный фон, они оказывают токсическое воздействие как на окружающую среду, так и на здоровье человека. К наиболее приоритетным неорганическим экотоксикантам относятся тяжелые металлы. В данную группу, за исключением благородных и редких металлов, включают элементы с плотностью свыше 8000 кг/м³, такие как ртуть, свинец, медь, цинк, никель, кадмий, кобальт, сурьма, висмут, олово, ванадий, а также полуметаллы типа мышьяка. Многие из них широко распространены в природе и при определенных условиях способны провоцировать различные заболевания.</w:t>
      </w:r>
    </w:p>
    <w:p w14:paraId="07208E3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Chars="0" w:right="0" w:rightChars="0"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Химический состав речных вод служит индикатором состава водовмещающих пород, поскольку, размывая их, вода переводит в растворенное состояние содержащиеся в породах элементы. Таким образом, при отсутствии антропогенного влияния, анализ речной воды позволяет косвенно судить о геохимических особенностях водосборного бассейна.</w:t>
      </w:r>
    </w:p>
    <w:p w14:paraId="7AB0CB8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Chars="0" w:right="0" w:rightChars="0"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Исследования гидрохимического режима рек Кабардино-Балкарии проводятся достаточно активно, однако в основном они сфокусированы на крупных магистральных водотоках, таких как Баксан, Малка и Черек. Особое внимание уделялось реке Черек-Безенгийский в пределах Кабардино-Балкарского высокогорного заповедника. В работах, посвященных изучению ее ионного состава [3–6], отмечен рост минерализации в 1.5–2 раза за период 2004–2014 гг., а также неоднократные превышения ПДК по аммоний-ионам и нитритам. Исследование, проведенное на примере 2013 года, показало зависимость концентраций основных ионов от высоты водосбора и температуры воды: повышение температуры на 3°C в период летнего паводка приводило к более чем двукратному увеличению содержания гидрокарбонатов и ионов кальция [7]. Микроэлементный состав вод также изучался [8–10]. Было установлено, что основным элементом, формирующим повышенные концентрации в верховьях, является цинк. Согласно данным М.А. Газаева с соавторами [8], воды в высокогорной зоне по этому показателю могут квалифицироваться как сильно загрязненные (6-й класс), в то время как по содержанию Mn, Ni, Cr, Pb, Cu, Ag, Cd они характеризуются высокой чистотой.</w:t>
      </w:r>
    </w:p>
    <w:p w14:paraId="1C9B4EB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Chars="0" w:right="0" w:rightChars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Бассейн реки Хазнидон, в отличие от упомянутых водотоков, долгое время оставался слабо изученным. Поскольку Хазнидон, как и верховья Черек-Безенгийского, протекает по территории Кабардино-Балкарского высокогорного заповедника [1], актуальной задачей представляется оценка уровня содержания тяжелых металлов в его водах для определения фонового (природного) состояния. Заповедник, учрежденный в январе 1976 года, занимает площадь 82 642 га с охранной зоной в 26 000 га и расположен в высокогорном поясе Большого Кавказа.</w:t>
      </w:r>
    </w:p>
    <w:p w14:paraId="10F49D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 w:eastAsia="SimSun" w:cs="Times New Roman"/>
          <w:b w:val="0"/>
          <w:bCs/>
          <w:color w:val="000000"/>
          <w:sz w:val="24"/>
          <w:szCs w:val="24"/>
        </w:rPr>
      </w:pPr>
    </w:p>
    <w:p w14:paraId="2FE93F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 w:eastAsia="SimSun" w:cs="Times New Roman"/>
          <w:b w:val="0"/>
          <w:bCs/>
          <w:color w:val="00000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/>
          <w:color w:val="000000"/>
          <w:sz w:val="24"/>
          <w:szCs w:val="24"/>
        </w:rPr>
        <w:br w:type="page"/>
      </w:r>
    </w:p>
    <w:p w14:paraId="4815A2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b/>
          <w:caps/>
          <w:color w:val="000000"/>
          <w:sz w:val="28"/>
          <w:szCs w:val="28"/>
        </w:rPr>
        <w:t xml:space="preserve">ГЛАВА II. </w:t>
      </w:r>
      <w:r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</w:rPr>
        <w:t>МАТЕРИАЛЫ и методы ИССЛЕДОВАНИЯ</w:t>
      </w:r>
    </w:p>
    <w:p w14:paraId="575199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  <w:lang w:val="ru-RU"/>
        </w:rPr>
        <w:t>2</w:t>
      </w:r>
      <w:r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</w:rPr>
        <w:t>.1</w:t>
      </w:r>
      <w:r>
        <w:rPr>
          <w:rFonts w:hint="default" w:ascii="Times New Roman" w:hAnsi="Times New Roman" w:eastAsia="SimSun" w:cs="Times New Roman"/>
          <w:caps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eastAsia="SimSun" w:cs="Times New Roman"/>
          <w:b/>
          <w:sz w:val="28"/>
          <w:szCs w:val="28"/>
        </w:rPr>
        <w:t>Объект исследования</w:t>
      </w:r>
    </w:p>
    <w:p w14:paraId="59C7AA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Объектом исследования выступила река Хазнидон, протекающая по территории Кабардино-Балкарской Республики и Республики Северная Осетия – Алания. Её протяжённость составляет 42 км, а площадь водосборного бассейна – 232 км² [1]. Исток реки находится на высоте свыше 3000 метров над уровнем моря в зоне ледников в пределах Кабардино-Балкарского высокогорного заповедника. Хазнидон впадает в реку Урух, относясь, таким образом, к бассейну реки Терек. На всём своём протяжении водоток сохраняет типично горный характер с выраженным уклоном и высокой скоростью течения. Основной источник питания – ледниковые воды. Наиболее значимыми притоками являются реки Лахумедон и Туяга.</w:t>
      </w:r>
    </w:p>
    <w:p w14:paraId="3B477D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Важным аспектом, определяющим экологическое состояние реки, является крайне низкая степень антропогенной освоенности её бассейна. На всём протяжении Хазнидона расположено лишь два населённых пункта: село Ташлы-Тала в верховьях (Кабардино-Балкария) и село Хазнидон вблизи устья (Северная Осетия). Такая ситуация минимизирует прямое хозяйственное воздействие на качество вод, что делает реку ценным объектом для установления фоновых гидрохимических характеристик.</w:t>
      </w:r>
    </w:p>
    <w:p w14:paraId="05C165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textAlignment w:val="auto"/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  <w:lang w:val="ru-RU"/>
        </w:rPr>
      </w:pPr>
    </w:p>
    <w:p w14:paraId="0A33B7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textAlignment w:val="auto"/>
        <w:rPr>
          <w:rFonts w:hint="default" w:ascii="Times New Roman" w:hAnsi="Times New Roman" w:eastAsia="SimSu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  <w:lang w:val="ru-RU"/>
        </w:rPr>
        <w:t>2</w:t>
      </w:r>
      <w:r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</w:rPr>
        <w:t>.</w:t>
      </w:r>
      <w:r>
        <w:rPr>
          <w:rFonts w:hint="default" w:ascii="Times New Roman" w:hAnsi="Times New Roman" w:eastAsia="SimSun" w:cs="Times New Roman"/>
          <w:b/>
          <w:caps/>
          <w:color w:val="000000"/>
          <w:sz w:val="28"/>
          <w:szCs w:val="28"/>
          <w:lang w:val="ru-RU"/>
        </w:rPr>
        <w:t>2</w:t>
      </w:r>
      <w:r>
        <w:rPr>
          <w:rFonts w:hint="default" w:ascii="Times New Roman" w:hAnsi="Times New Roman" w:eastAsia="SimSun" w:cs="Times New Roman"/>
          <w:caps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SimSun" w:cs="Times New Roman"/>
          <w:b/>
          <w:bCs/>
          <w:sz w:val="28"/>
          <w:szCs w:val="28"/>
          <w:u w:val="none"/>
        </w:rPr>
        <w:t>Материалы и методы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u w:val="none"/>
          <w:lang w:val="ru-RU"/>
        </w:rPr>
        <w:t xml:space="preserve"> исследования</w:t>
      </w:r>
    </w:p>
    <w:p w14:paraId="79D982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Программа полевых и лабораторных исследований была разработана в соответствии с действующими нормативными документами, регламентирующими экологический мониторинг поверхностных вод суши. Общая организация работ и последовательность операций соблюдались согласно РД 52.24.309-2016 [11].</w:t>
      </w:r>
    </w:p>
    <w:p w14:paraId="666C6C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Полевые исследования и отбор проб воды проводились в июне 2024 года в пяти точках верховья реки Хазнидон и её притока Лахумедон, расположенных в границах заповедной зоны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(Приложение 1)</w:t>
      </w:r>
      <w:r>
        <w:rPr>
          <w:rFonts w:hint="default" w:ascii="Times New Roman" w:hAnsi="Times New Roman" w:eastAsia="SimSun"/>
          <w:sz w:val="28"/>
          <w:szCs w:val="28"/>
        </w:rPr>
        <w:t xml:space="preserve">. </w:t>
      </w:r>
    </w:p>
    <w:p w14:paraId="760A16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Отбор проб воды производился в строгом соответствии с ГОСТ Р 59024-2020 [12]. Воду забирали в специально подготовленную химически инертную тару. Непосредственно в момент отбора фиксировались такие параметры, как температура и прозрачность воды.</w:t>
      </w:r>
    </w:p>
    <w:p w14:paraId="6B2F55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Для определения содержания именно растворённых форм микроэлементов все отобранные пробы подвергались фильтрации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/>
          <w:sz w:val="28"/>
          <w:szCs w:val="28"/>
        </w:rPr>
        <w:t xml:space="preserve">  Использовались мембранные фильтры с диаметром пор 0,45 мкм, что является стандартной процедурой для разделения взвешенных и растворённых веществ.</w:t>
      </w:r>
    </w:p>
    <w:p w14:paraId="580365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Для последующего анализа тяжёлых металлов пробы подлежали консервации. Консервация выполнялась добавлением азотной кислоты особой чистоты (ОСЧ) из расчёта 0.5% от общего объёма пробы, как того требует ГОСТ Р 57162-2016 [13]. Это предотвращает сорбцию ионов металлов на стенках ёмкости и осаждение их гидроксидов.</w:t>
      </w:r>
    </w:p>
    <w:p w14:paraId="45D373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Транспортировка отобранных и законсервированных проб в лабораторию, а также их последующее хранение до начала анализа осуществлялись в условиях охлаждения при температуре от +2°C до +5°C.</w:t>
      </w:r>
    </w:p>
    <w:p w14:paraId="75CD72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Количественное определение концентраций тяжёлых металлов проводилось методом атомно-абсорбционной спектроскопии с электротермической атомизацией (ААС-ЭТА) на спектрометре «МГА-915». Анализ выполнялся согласно требованиям ГОСТ Р 51309-99 [14] и руководству по эксплуатации прибора («Количественный химический анализ вод»)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(Приложение 2)</w:t>
      </w:r>
      <w:r>
        <w:rPr>
          <w:rFonts w:hint="default" w:ascii="Times New Roman" w:hAnsi="Times New Roman" w:eastAsia="SimSun"/>
          <w:sz w:val="28"/>
          <w:szCs w:val="28"/>
        </w:rPr>
        <w:t>. В ходе исследования были определены концентрации 11 элементов, относящихся ко II–IV классам опасности.</w:t>
      </w:r>
    </w:p>
    <w:p w14:paraId="048C56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Параллельно с инструментальным анализом проводилась оценка органолептических свойств воды, являющихся интегральными показателями её качества. Оценивались температура, прозрачность, запах, привкус, цветность и мутность. Нормативы для этих показателей установлены ГОСТ 2874-82 [15] и представлены в сводной таблице 1.</w:t>
      </w:r>
    </w:p>
    <w:p w14:paraId="191BD9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center"/>
        <w:textAlignment w:val="auto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 xml:space="preserve">Таблица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1 </w:t>
      </w:r>
      <w:r>
        <w:rPr>
          <w:rFonts w:hint="default" w:ascii="Times New Roman" w:hAnsi="Times New Roman" w:eastAsia="SimSun"/>
          <w:sz w:val="28"/>
          <w:szCs w:val="28"/>
        </w:rPr>
        <w:t>Оптимальные органолептические показатели питьевой воды (по ГОСТ 2874-82)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77163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noWrap w:val="0"/>
            <w:vAlign w:val="top"/>
          </w:tcPr>
          <w:p w14:paraId="2EE8A9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Показатель</w:t>
            </w:r>
          </w:p>
        </w:tc>
        <w:tc>
          <w:tcPr>
            <w:tcW w:w="3096" w:type="dxa"/>
            <w:noWrap w:val="0"/>
            <w:vAlign w:val="top"/>
          </w:tcPr>
          <w:p w14:paraId="7AB5F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Единицы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 xml:space="preserve"> измерения</w:t>
            </w:r>
          </w:p>
        </w:tc>
        <w:tc>
          <w:tcPr>
            <w:tcW w:w="3096" w:type="dxa"/>
            <w:noWrap w:val="0"/>
            <w:vAlign w:val="top"/>
          </w:tcPr>
          <w:p w14:paraId="5FC4A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Норматив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, не более</w:t>
            </w:r>
          </w:p>
        </w:tc>
      </w:tr>
      <w:tr w14:paraId="68F50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noWrap w:val="0"/>
            <w:vAlign w:val="top"/>
          </w:tcPr>
          <w:p w14:paraId="4F329C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Цветностьт</w:t>
            </w:r>
          </w:p>
        </w:tc>
        <w:tc>
          <w:tcPr>
            <w:tcW w:w="3096" w:type="dxa"/>
            <w:noWrap w:val="0"/>
            <w:vAlign w:val="top"/>
          </w:tcPr>
          <w:p w14:paraId="64F8A6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Градусы</w:t>
            </w:r>
          </w:p>
        </w:tc>
        <w:tc>
          <w:tcPr>
            <w:tcW w:w="3096" w:type="dxa"/>
            <w:noWrap w:val="0"/>
            <w:vAlign w:val="top"/>
          </w:tcPr>
          <w:p w14:paraId="636F3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20</w:t>
            </w:r>
          </w:p>
        </w:tc>
      </w:tr>
      <w:tr w14:paraId="2EB51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noWrap w:val="0"/>
            <w:vAlign w:val="top"/>
          </w:tcPr>
          <w:p w14:paraId="03B4B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Мутногсть</w:t>
            </w:r>
          </w:p>
        </w:tc>
        <w:tc>
          <w:tcPr>
            <w:tcW w:w="3096" w:type="dxa"/>
            <w:noWrap w:val="0"/>
            <w:vAlign w:val="top"/>
          </w:tcPr>
          <w:p w14:paraId="5329D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ЕМФ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 xml:space="preserve"> (единицы мутности по формазину)</w:t>
            </w:r>
          </w:p>
        </w:tc>
        <w:tc>
          <w:tcPr>
            <w:tcW w:w="3096" w:type="dxa"/>
            <w:noWrap w:val="0"/>
            <w:vAlign w:val="top"/>
          </w:tcPr>
          <w:p w14:paraId="3DE865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2,6</w:t>
            </w:r>
          </w:p>
        </w:tc>
      </w:tr>
      <w:tr w14:paraId="0A4C0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noWrap w:val="0"/>
            <w:vAlign w:val="top"/>
          </w:tcPr>
          <w:p w14:paraId="1FD46E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Запах</w:t>
            </w:r>
          </w:p>
        </w:tc>
        <w:tc>
          <w:tcPr>
            <w:tcW w:w="3096" w:type="dxa"/>
            <w:noWrap w:val="0"/>
            <w:vAlign w:val="top"/>
          </w:tcPr>
          <w:p w14:paraId="6FA3A2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Баллы</w:t>
            </w:r>
          </w:p>
        </w:tc>
        <w:tc>
          <w:tcPr>
            <w:tcW w:w="3096" w:type="dxa"/>
            <w:noWrap w:val="0"/>
            <w:vAlign w:val="top"/>
          </w:tcPr>
          <w:p w14:paraId="4CB948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</w:t>
            </w:r>
          </w:p>
        </w:tc>
      </w:tr>
      <w:tr w14:paraId="1B682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noWrap w:val="0"/>
            <w:vAlign w:val="top"/>
          </w:tcPr>
          <w:p w14:paraId="4663C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Вкус</w:t>
            </w:r>
          </w:p>
        </w:tc>
        <w:tc>
          <w:tcPr>
            <w:tcW w:w="3096" w:type="dxa"/>
            <w:noWrap w:val="0"/>
            <w:vAlign w:val="top"/>
          </w:tcPr>
          <w:p w14:paraId="734FE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Баллы</w:t>
            </w:r>
          </w:p>
        </w:tc>
        <w:tc>
          <w:tcPr>
            <w:tcW w:w="3096" w:type="dxa"/>
            <w:noWrap w:val="0"/>
            <w:vAlign w:val="top"/>
          </w:tcPr>
          <w:p w14:paraId="585CFA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</w:t>
            </w:r>
          </w:p>
        </w:tc>
      </w:tr>
    </w:tbl>
    <w:p w14:paraId="4B7FE5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center"/>
        <w:textAlignment w:val="auto"/>
        <w:rPr>
          <w:rFonts w:ascii="Times New Roman" w:hAnsi="Times New Roman" w:eastAsia="SimSun" w:cs="Times New Roman"/>
          <w:sz w:val="24"/>
          <w:szCs w:val="24"/>
        </w:rPr>
      </w:pPr>
    </w:p>
    <w:p w14:paraId="42DC3493">
      <w:pPr>
        <w:keepNext w:val="0"/>
        <w:keepLines w:val="0"/>
        <w:widowControl/>
        <w:numPr>
          <w:ilvl w:val="0"/>
          <w:numId w:val="0"/>
        </w:numPr>
        <w:suppressLineNumbers w:val="0"/>
        <w:spacing w:before="72" w:beforeAutospacing="0" w:after="0" w:afterAutospacing="1"/>
        <w:ind w:left="-360" w:leftChars="0"/>
        <w:jc w:val="both"/>
        <w:rPr>
          <w:rFonts w:ascii="Times New Roman" w:hAnsi="Times New Roman" w:eastAsia="SimSun" w:cs="Times New Roman"/>
          <w:sz w:val="24"/>
          <w:szCs w:val="24"/>
        </w:rPr>
      </w:pPr>
      <w:r>
        <w:rPr>
          <w:rFonts w:ascii="Times New Roman" w:hAnsi="Times New Roman" w:eastAsia="SimSun" w:cs="Times New Roman"/>
          <w:sz w:val="24"/>
          <w:szCs w:val="24"/>
        </w:rPr>
        <w:br w:type="page"/>
      </w:r>
    </w:p>
    <w:p w14:paraId="154005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left"/>
        <w:textAlignment w:val="auto"/>
        <w:rPr>
          <w:rFonts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  <w:t xml:space="preserve">ГЛАВА </w:t>
      </w:r>
      <w:r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en-US"/>
        </w:rPr>
        <w:t>III</w:t>
      </w:r>
      <w:r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  <w:t>РЕЗУЛЬТАТЫ ИССЛЕДОВАНИЯ И ОБСУЖДЕНИЕ</w:t>
      </w:r>
    </w:p>
    <w:p w14:paraId="5F3D65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С целью получения данных, характеризующих фоновое состояние водных ресурсов, отбор проб был осуществлён в верхнем течении реки, вблизи её истока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(Приложение 1)</w:t>
      </w:r>
      <w:r>
        <w:rPr>
          <w:rFonts w:hint="default" w:ascii="Times New Roman" w:hAnsi="Times New Roman" w:eastAsia="SimSun"/>
          <w:sz w:val="28"/>
          <w:szCs w:val="28"/>
        </w:rPr>
        <w:t>. Данный участок расположен в границах особо охраняемой природной территории Кабардино-Балкарского высокогорного заповедника [1], что гарантирует отсутствие прямого локального антропогенного воздействия. Таким образом, была достигнута основная задача данного этапа работы — минимизация влияния хозяйственной деятельности для оценки естественного, природного химического состава воды (см. Таблицу 2 и Приложение 1).</w:t>
      </w:r>
    </w:p>
    <w:p w14:paraId="591530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2 </w:t>
      </w:r>
      <w:r>
        <w:rPr>
          <w:rFonts w:hint="default" w:ascii="Times New Roman" w:hAnsi="Times New Roman"/>
          <w:b w:val="0"/>
          <w:bCs/>
          <w:sz w:val="28"/>
          <w:szCs w:val="28"/>
        </w:rPr>
        <w:t>Пункты отбора проб поверхностных вод в бассейне реки Хазнидон</w:t>
      </w:r>
    </w:p>
    <w:tbl>
      <w:tblPr>
        <w:tblStyle w:val="4"/>
        <w:tblW w:w="70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5861"/>
      </w:tblGrid>
      <w:tr w14:paraId="22586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FD1A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</w:rPr>
              <w:t xml:space="preserve">№ п/п </w:t>
            </w:r>
          </w:p>
        </w:tc>
        <w:tc>
          <w:tcPr>
            <w:tcW w:w="5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E3E6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Местоположение пункта отбора</w:t>
            </w:r>
          </w:p>
        </w:tc>
      </w:tr>
      <w:tr w14:paraId="008DA1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19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EF3A4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86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</w:tcPr>
          <w:p w14:paraId="30E8E4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0" w:line="240" w:lineRule="auto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Основное русло реки Хазнидон (правый рукав)</w:t>
            </w:r>
          </w:p>
        </w:tc>
      </w:tr>
      <w:tr w14:paraId="03105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19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62C8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86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</w:tcPr>
          <w:p w14:paraId="20BAB0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0" w:line="240" w:lineRule="auto"/>
              <w:textAlignment w:val="auto"/>
              <w:rPr>
                <w:rFonts w:hint="default"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Приток Лахумедон (левый рукав)</w:t>
            </w:r>
          </w:p>
        </w:tc>
      </w:tr>
      <w:tr w14:paraId="06E6D2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19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779BB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86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</w:tcPr>
          <w:p w14:paraId="01EBDE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Родниковый источник в междуречье</w:t>
            </w:r>
          </w:p>
        </w:tc>
      </w:tr>
      <w:tr w14:paraId="5F1AC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9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9D9BA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86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</w:tcPr>
          <w:p w14:paraId="2D6EF0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Родниковый источник в средней части ущелья</w:t>
            </w:r>
          </w:p>
        </w:tc>
      </w:tr>
      <w:tr w14:paraId="5A853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19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B06F1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586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</w:tcPr>
          <w:p w14:paraId="7559A7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Верховье реки Хазнидон (близ истока)</w:t>
            </w:r>
          </w:p>
        </w:tc>
      </w:tr>
    </w:tbl>
    <w:p w14:paraId="7FE13A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Полевые работы были запланированы на летний сезон (июнь 2024 г.), период, характеризующийся максимальным стоком за счёт активного таяния ледников и повышенного количества атмосферных осадков. Именно в это время процессы химического выветривания горных пород протекают наиболее интенсивно, а взаимодействие воды с минеральной основой водосборного бассейна достигает пика. Это позволяет получить информацию о максимальном потенциале мобилизации химических элементов в речную систему в естественных условиях.</w:t>
      </w:r>
    </w:p>
    <w:p w14:paraId="22E973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Было организовано 5 пунктов мониторинга, расположенных в ключевых точках бассейна. С каждого пункта производился отбор проб, которые непосредственно на месте подвергались подготовке: фильтрации через мембранные фильтры с размером пор 0,45 мкм для выделения растворённой фазы и консервации для последующего анализа содержания металлов.</w:t>
      </w:r>
    </w:p>
    <w:p w14:paraId="296DAC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</w:rPr>
      </w:pPr>
      <w:r>
        <w:rPr>
          <w:rFonts w:hint="default" w:ascii="Times New Roman" w:hAnsi="Times New Roman" w:eastAsia="SimSun"/>
          <w:sz w:val="28"/>
          <w:szCs w:val="28"/>
        </w:rPr>
        <w:t>Физические и органолептические характеристики водотока, отобранные в качестве фоновых, свидетельствовали о высоком естественном качестве воды. Параметры, такие как цвет, прозрачность, температура и запах, визуально и инструментально оценивались на всех точках отбора и соответствовали ожиданиям для ненарушенных горных водных объектов (результаты представлены в Таблице 3).</w:t>
      </w:r>
    </w:p>
    <w:p w14:paraId="418246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hint="default" w:ascii="Times New Roman" w:hAnsi="Times New Roman" w:eastAsia="SimSun"/>
          <w:b w:val="0"/>
          <w:bCs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 xml:space="preserve">Таблица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3 </w:t>
      </w:r>
      <w:r>
        <w:rPr>
          <w:rFonts w:hint="default" w:ascii="Times New Roman" w:hAnsi="Times New Roman" w:eastAsia="SimSun"/>
          <w:b w:val="0"/>
          <w:bCs/>
          <w:sz w:val="28"/>
          <w:szCs w:val="28"/>
        </w:rPr>
        <w:t>Результаты оценки органолептических показателей проб воды, отобранных в ущелье Хазнидон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0"/>
        <w:gridCol w:w="1017"/>
        <w:gridCol w:w="1122"/>
        <w:gridCol w:w="1327"/>
        <w:gridCol w:w="1278"/>
        <w:gridCol w:w="1186"/>
        <w:gridCol w:w="794"/>
      </w:tblGrid>
      <w:tr w14:paraId="37CA5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0" w:type="dxa"/>
          </w:tcPr>
          <w:p w14:paraId="6886B3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Пункт отбора / Проба</w:t>
            </w:r>
          </w:p>
        </w:tc>
        <w:tc>
          <w:tcPr>
            <w:tcW w:w="1017" w:type="dxa"/>
          </w:tcPr>
          <w:p w14:paraId="77D362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Запах (баллы)</w:t>
            </w:r>
          </w:p>
        </w:tc>
        <w:tc>
          <w:tcPr>
            <w:tcW w:w="1122" w:type="dxa"/>
          </w:tcPr>
          <w:p w14:paraId="318E8E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Вкус/</w:t>
            </w:r>
          </w:p>
          <w:p w14:paraId="44F552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Привкус (баллы)</w:t>
            </w:r>
          </w:p>
        </w:tc>
        <w:tc>
          <w:tcPr>
            <w:tcW w:w="1327" w:type="dxa"/>
          </w:tcPr>
          <w:p w14:paraId="3ED25D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Цветность (градусы)</w:t>
            </w:r>
          </w:p>
        </w:tc>
        <w:tc>
          <w:tcPr>
            <w:tcW w:w="1278" w:type="dxa"/>
          </w:tcPr>
          <w:p w14:paraId="5C36BA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Мутность (ЕМФ)</w:t>
            </w:r>
          </w:p>
        </w:tc>
        <w:tc>
          <w:tcPr>
            <w:tcW w:w="1186" w:type="dxa"/>
          </w:tcPr>
          <w:p w14:paraId="49B9E9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Прозрачность (см)</w:t>
            </w:r>
          </w:p>
        </w:tc>
        <w:tc>
          <w:tcPr>
            <w:tcW w:w="794" w:type="dxa"/>
          </w:tcPr>
          <w:p w14:paraId="2E7B9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pH</w:t>
            </w:r>
          </w:p>
        </w:tc>
      </w:tr>
      <w:tr w14:paraId="619C5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0" w:type="dxa"/>
          </w:tcPr>
          <w:p w14:paraId="0286D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Фон (ожидаемый норматив)</w:t>
            </w:r>
          </w:p>
        </w:tc>
        <w:tc>
          <w:tcPr>
            <w:tcW w:w="1017" w:type="dxa"/>
          </w:tcPr>
          <w:p w14:paraId="6C6598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≤ 2</w:t>
            </w:r>
          </w:p>
        </w:tc>
        <w:tc>
          <w:tcPr>
            <w:tcW w:w="1122" w:type="dxa"/>
          </w:tcPr>
          <w:p w14:paraId="4A744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≤ 2</w:t>
            </w:r>
          </w:p>
        </w:tc>
        <w:tc>
          <w:tcPr>
            <w:tcW w:w="1327" w:type="dxa"/>
          </w:tcPr>
          <w:p w14:paraId="3F6529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≤ 20</w:t>
            </w:r>
          </w:p>
        </w:tc>
        <w:tc>
          <w:tcPr>
            <w:tcW w:w="1278" w:type="dxa"/>
          </w:tcPr>
          <w:p w14:paraId="7FB037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≤ 2.6</w:t>
            </w:r>
          </w:p>
        </w:tc>
        <w:tc>
          <w:tcPr>
            <w:tcW w:w="1186" w:type="dxa"/>
          </w:tcPr>
          <w:p w14:paraId="376657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&gt; 30</w:t>
            </w:r>
          </w:p>
        </w:tc>
        <w:tc>
          <w:tcPr>
            <w:tcW w:w="794" w:type="dxa"/>
          </w:tcPr>
          <w:p w14:paraId="4B446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6.5–8.5</w:t>
            </w:r>
          </w:p>
        </w:tc>
      </w:tr>
      <w:tr w14:paraId="46DDC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0" w:type="dxa"/>
          </w:tcPr>
          <w:p w14:paraId="02565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Проба 1 (р. Хазнидон)</w:t>
            </w:r>
          </w:p>
        </w:tc>
        <w:tc>
          <w:tcPr>
            <w:tcW w:w="1017" w:type="dxa"/>
          </w:tcPr>
          <w:p w14:paraId="62C61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</w:tcPr>
          <w:p w14:paraId="25149D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б/вк</w:t>
            </w:r>
          </w:p>
        </w:tc>
        <w:tc>
          <w:tcPr>
            <w:tcW w:w="1327" w:type="dxa"/>
          </w:tcPr>
          <w:p w14:paraId="713BC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278" w:type="dxa"/>
          </w:tcPr>
          <w:p w14:paraId="636609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</w:t>
            </w:r>
          </w:p>
        </w:tc>
        <w:tc>
          <w:tcPr>
            <w:tcW w:w="1186" w:type="dxa"/>
          </w:tcPr>
          <w:p w14:paraId="761356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30 см</w:t>
            </w:r>
          </w:p>
        </w:tc>
        <w:tc>
          <w:tcPr>
            <w:tcW w:w="794" w:type="dxa"/>
          </w:tcPr>
          <w:p w14:paraId="41D385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7,56</w:t>
            </w:r>
          </w:p>
        </w:tc>
      </w:tr>
      <w:tr w14:paraId="7B18A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0" w:type="dxa"/>
          </w:tcPr>
          <w:p w14:paraId="2F2566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Проба 2 (р. Лахумедон)</w:t>
            </w:r>
          </w:p>
        </w:tc>
        <w:tc>
          <w:tcPr>
            <w:tcW w:w="1017" w:type="dxa"/>
          </w:tcPr>
          <w:p w14:paraId="2B7682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</w:tcPr>
          <w:p w14:paraId="70FB2F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б/вк</w:t>
            </w:r>
          </w:p>
        </w:tc>
        <w:tc>
          <w:tcPr>
            <w:tcW w:w="1327" w:type="dxa"/>
          </w:tcPr>
          <w:p w14:paraId="764EF7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278" w:type="dxa"/>
          </w:tcPr>
          <w:p w14:paraId="2F5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</w:t>
            </w:r>
          </w:p>
        </w:tc>
        <w:tc>
          <w:tcPr>
            <w:tcW w:w="1186" w:type="dxa"/>
          </w:tcPr>
          <w:p w14:paraId="27DEB8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30 см</w:t>
            </w:r>
          </w:p>
        </w:tc>
        <w:tc>
          <w:tcPr>
            <w:tcW w:w="794" w:type="dxa"/>
          </w:tcPr>
          <w:p w14:paraId="5CF881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7,28</w:t>
            </w:r>
          </w:p>
        </w:tc>
      </w:tr>
      <w:tr w14:paraId="03C66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0" w:type="dxa"/>
          </w:tcPr>
          <w:p w14:paraId="3C28DE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Родни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к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 в междуречье</w:t>
            </w:r>
          </w:p>
        </w:tc>
        <w:tc>
          <w:tcPr>
            <w:tcW w:w="1017" w:type="dxa"/>
            <w:shd w:val="clear" w:color="auto" w:fill="auto"/>
            <w:vAlign w:val="top"/>
          </w:tcPr>
          <w:p w14:paraId="73DA6025"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en-US"/>
              </w:rPr>
              <w:t>H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en-US"/>
              </w:rPr>
              <w:t>S</w:t>
            </w:r>
          </w:p>
          <w:p w14:paraId="1E05185E"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SimSun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14:paraId="619F08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б/вк</w:t>
            </w:r>
          </w:p>
        </w:tc>
        <w:tc>
          <w:tcPr>
            <w:tcW w:w="1327" w:type="dxa"/>
          </w:tcPr>
          <w:p w14:paraId="55E0D8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278" w:type="dxa"/>
          </w:tcPr>
          <w:p w14:paraId="10290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</w:t>
            </w:r>
          </w:p>
        </w:tc>
        <w:tc>
          <w:tcPr>
            <w:tcW w:w="1186" w:type="dxa"/>
          </w:tcPr>
          <w:p w14:paraId="3BB616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30 см</w:t>
            </w:r>
          </w:p>
        </w:tc>
        <w:tc>
          <w:tcPr>
            <w:tcW w:w="794" w:type="dxa"/>
          </w:tcPr>
          <w:p w14:paraId="353AAB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7,34</w:t>
            </w:r>
          </w:p>
        </w:tc>
      </w:tr>
      <w:tr w14:paraId="513DB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0" w:type="dxa"/>
          </w:tcPr>
          <w:p w14:paraId="4093D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Родник в средней части ущелья</w:t>
            </w:r>
          </w:p>
        </w:tc>
        <w:tc>
          <w:tcPr>
            <w:tcW w:w="1017" w:type="dxa"/>
          </w:tcPr>
          <w:p w14:paraId="30A26D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</w:tcPr>
          <w:p w14:paraId="7D414F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б/вк</w:t>
            </w:r>
          </w:p>
        </w:tc>
        <w:tc>
          <w:tcPr>
            <w:tcW w:w="1327" w:type="dxa"/>
          </w:tcPr>
          <w:p w14:paraId="6E1FE6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278" w:type="dxa"/>
          </w:tcPr>
          <w:p w14:paraId="2989BA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</w:t>
            </w:r>
          </w:p>
        </w:tc>
        <w:tc>
          <w:tcPr>
            <w:tcW w:w="1186" w:type="dxa"/>
          </w:tcPr>
          <w:p w14:paraId="307102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30 см</w:t>
            </w:r>
          </w:p>
        </w:tc>
        <w:tc>
          <w:tcPr>
            <w:tcW w:w="794" w:type="dxa"/>
          </w:tcPr>
          <w:p w14:paraId="435BE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>7,38</w:t>
            </w:r>
          </w:p>
        </w:tc>
      </w:tr>
      <w:tr w14:paraId="16178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0" w:type="dxa"/>
          </w:tcPr>
          <w:p w14:paraId="2B075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Верховье реки Хазнидон</w:t>
            </w:r>
          </w:p>
        </w:tc>
        <w:tc>
          <w:tcPr>
            <w:tcW w:w="1017" w:type="dxa"/>
          </w:tcPr>
          <w:p w14:paraId="58130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-</w:t>
            </w:r>
          </w:p>
        </w:tc>
        <w:tc>
          <w:tcPr>
            <w:tcW w:w="1122" w:type="dxa"/>
          </w:tcPr>
          <w:p w14:paraId="3172D7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б/вк</w:t>
            </w:r>
          </w:p>
        </w:tc>
        <w:tc>
          <w:tcPr>
            <w:tcW w:w="1327" w:type="dxa"/>
          </w:tcPr>
          <w:p w14:paraId="4E1E8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278" w:type="dxa"/>
          </w:tcPr>
          <w:p w14:paraId="3428C9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-</w:t>
            </w:r>
          </w:p>
        </w:tc>
        <w:tc>
          <w:tcPr>
            <w:tcW w:w="1186" w:type="dxa"/>
          </w:tcPr>
          <w:p w14:paraId="6ED83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30 см</w:t>
            </w:r>
          </w:p>
        </w:tc>
        <w:tc>
          <w:tcPr>
            <w:tcW w:w="794" w:type="dxa"/>
          </w:tcPr>
          <w:p w14:paraId="6598A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7,42</w:t>
            </w:r>
          </w:p>
        </w:tc>
      </w:tr>
    </w:tbl>
    <w:p w14:paraId="3C8A47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соответствии с разработанной программой мониторинга на территории бассейна реки Хазнидон было заложено 5 контрольных точек (см. Приложение 1). Три из них расположены непосредственно в основном русле реки и её притоке, что позволяет оценить состояние водотока, а две точки приходятся на родниковые источники, вода которых формирует подземный сток и питание реки.</w:t>
      </w:r>
    </w:p>
    <w:p w14:paraId="226535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результате лабораторного анализа были получены данные по содержанию 11 приоритетных тяжёлых металлов. Сводные результаты с указанием концентраций представлены в нижеследующих таблицах 4-5. Для интерпретации полученных значений в таблицы включены нормативы предельно допустимых концентраций (ПДК), установленные для вод питьевого и рыбохозяйственного назначения. В качестве естественного фона для сравнения приведены кларки (средние содержания) элементов в речных водах.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Также указаны классы опасности веществ для водных объектов рыбохозяйственного значения в соответствии с действующим регламентом [1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>].</w:t>
      </w:r>
    </w:p>
    <w:p w14:paraId="0B72D9A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hint="default" w:ascii="Times New Roman" w:hAnsi="Times New Roman" w:eastAsia="SimSu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Таблица 4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Концентрации микроэлементов II класса опасности в водах верховья реки Хазнидон (мкг/л) и сравнительные показатели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967"/>
        <w:gridCol w:w="944"/>
        <w:gridCol w:w="903"/>
        <w:gridCol w:w="931"/>
        <w:gridCol w:w="952"/>
        <w:gridCol w:w="1402"/>
        <w:gridCol w:w="1176"/>
        <w:gridCol w:w="1007"/>
      </w:tblGrid>
      <w:tr w14:paraId="0BF65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10DFF31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 xml:space="preserve">Элемент / </w:t>
            </w:r>
          </w:p>
          <w:p w14:paraId="47550FD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Показатель</w:t>
            </w:r>
          </w:p>
        </w:tc>
        <w:tc>
          <w:tcPr>
            <w:tcW w:w="991" w:type="dxa"/>
          </w:tcPr>
          <w:p w14:paraId="1687D3A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Проба 1</w:t>
            </w:r>
          </w:p>
        </w:tc>
        <w:tc>
          <w:tcPr>
            <w:tcW w:w="967" w:type="dxa"/>
          </w:tcPr>
          <w:p w14:paraId="3DD70D0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2</w:t>
            </w:r>
          </w:p>
        </w:tc>
        <w:tc>
          <w:tcPr>
            <w:tcW w:w="924" w:type="dxa"/>
          </w:tcPr>
          <w:p w14:paraId="699745D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3</w:t>
            </w:r>
          </w:p>
        </w:tc>
        <w:tc>
          <w:tcPr>
            <w:tcW w:w="953" w:type="dxa"/>
          </w:tcPr>
          <w:p w14:paraId="41030DB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4</w:t>
            </w:r>
          </w:p>
        </w:tc>
        <w:tc>
          <w:tcPr>
            <w:tcW w:w="975" w:type="dxa"/>
          </w:tcPr>
          <w:p w14:paraId="3BB1AB2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5</w:t>
            </w:r>
          </w:p>
        </w:tc>
        <w:tc>
          <w:tcPr>
            <w:tcW w:w="1408" w:type="dxa"/>
          </w:tcPr>
          <w:p w14:paraId="0E8E190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ПДК </w:t>
            </w:r>
          </w:p>
          <w:p w14:paraId="6A6019F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(питьевая)</w:t>
            </w:r>
          </w:p>
        </w:tc>
        <w:tc>
          <w:tcPr>
            <w:tcW w:w="1027" w:type="dxa"/>
          </w:tcPr>
          <w:p w14:paraId="6850F99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ПДК </w:t>
            </w:r>
          </w:p>
          <w:p w14:paraId="4D73D34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(рыбхоз.)</w:t>
            </w:r>
          </w:p>
        </w:tc>
        <w:tc>
          <w:tcPr>
            <w:tcW w:w="1027" w:type="dxa"/>
          </w:tcPr>
          <w:p w14:paraId="0B42614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Кларк речных вод</w:t>
            </w:r>
          </w:p>
        </w:tc>
      </w:tr>
      <w:tr w14:paraId="58AF2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628220A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Серебро </w:t>
            </w:r>
          </w:p>
          <w:p w14:paraId="1F6145B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(Ag)</w:t>
            </w:r>
          </w:p>
        </w:tc>
        <w:tc>
          <w:tcPr>
            <w:tcW w:w="991" w:type="dxa"/>
          </w:tcPr>
          <w:p w14:paraId="04AF57F3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0,11</w:t>
            </w:r>
          </w:p>
        </w:tc>
        <w:tc>
          <w:tcPr>
            <w:tcW w:w="967" w:type="dxa"/>
          </w:tcPr>
          <w:p w14:paraId="1417CC6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0,07</w:t>
            </w:r>
          </w:p>
        </w:tc>
        <w:tc>
          <w:tcPr>
            <w:tcW w:w="924" w:type="dxa"/>
          </w:tcPr>
          <w:p w14:paraId="4622189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0,05</w:t>
            </w:r>
          </w:p>
        </w:tc>
        <w:tc>
          <w:tcPr>
            <w:tcW w:w="953" w:type="dxa"/>
          </w:tcPr>
          <w:p w14:paraId="6FFB2FB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0,05</w:t>
            </w:r>
          </w:p>
        </w:tc>
        <w:tc>
          <w:tcPr>
            <w:tcW w:w="975" w:type="dxa"/>
          </w:tcPr>
          <w:p w14:paraId="408CB22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4</w:t>
            </w:r>
          </w:p>
        </w:tc>
        <w:tc>
          <w:tcPr>
            <w:tcW w:w="1408" w:type="dxa"/>
          </w:tcPr>
          <w:p w14:paraId="07B60CC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50</w:t>
            </w:r>
          </w:p>
        </w:tc>
        <w:tc>
          <w:tcPr>
            <w:tcW w:w="1027" w:type="dxa"/>
          </w:tcPr>
          <w:p w14:paraId="6891921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0DFB77C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0,2</w:t>
            </w:r>
          </w:p>
        </w:tc>
      </w:tr>
      <w:tr w14:paraId="3B3D3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32935FA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02F41B4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91" w:type="dxa"/>
          </w:tcPr>
          <w:p w14:paraId="30E1C42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67" w:type="dxa"/>
          </w:tcPr>
          <w:p w14:paraId="2C65766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24" w:type="dxa"/>
          </w:tcPr>
          <w:p w14:paraId="7F3D8273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53" w:type="dxa"/>
          </w:tcPr>
          <w:p w14:paraId="1CDD6F2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75" w:type="dxa"/>
          </w:tcPr>
          <w:p w14:paraId="7B7252C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0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)</w:t>
            </w:r>
          </w:p>
        </w:tc>
        <w:tc>
          <w:tcPr>
            <w:tcW w:w="1408" w:type="dxa"/>
          </w:tcPr>
          <w:p w14:paraId="1F7E05F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4B921C8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26ACEA1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57210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3CA2C1E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Кадмий </w:t>
            </w:r>
          </w:p>
          <w:p w14:paraId="2343D59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(Cd)</w:t>
            </w:r>
          </w:p>
        </w:tc>
        <w:tc>
          <w:tcPr>
            <w:tcW w:w="991" w:type="dxa"/>
          </w:tcPr>
          <w:p w14:paraId="0B550AA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0,053</w:t>
            </w:r>
          </w:p>
        </w:tc>
        <w:tc>
          <w:tcPr>
            <w:tcW w:w="967" w:type="dxa"/>
          </w:tcPr>
          <w:p w14:paraId="67EA945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0,066</w:t>
            </w:r>
          </w:p>
        </w:tc>
        <w:tc>
          <w:tcPr>
            <w:tcW w:w="924" w:type="dxa"/>
          </w:tcPr>
          <w:p w14:paraId="054E24E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0,038</w:t>
            </w:r>
          </w:p>
        </w:tc>
        <w:tc>
          <w:tcPr>
            <w:tcW w:w="953" w:type="dxa"/>
          </w:tcPr>
          <w:p w14:paraId="41FA988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0,012</w:t>
            </w:r>
          </w:p>
        </w:tc>
        <w:tc>
          <w:tcPr>
            <w:tcW w:w="975" w:type="dxa"/>
          </w:tcPr>
          <w:p w14:paraId="6DD4091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0,01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5</w:t>
            </w:r>
          </w:p>
        </w:tc>
        <w:tc>
          <w:tcPr>
            <w:tcW w:w="1408" w:type="dxa"/>
          </w:tcPr>
          <w:p w14:paraId="2F4BB40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027" w:type="dxa"/>
          </w:tcPr>
          <w:p w14:paraId="581720A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5</w:t>
            </w:r>
          </w:p>
        </w:tc>
        <w:tc>
          <w:tcPr>
            <w:tcW w:w="1027" w:type="dxa"/>
          </w:tcPr>
          <w:p w14:paraId="7543222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0,2</w:t>
            </w:r>
          </w:p>
        </w:tc>
      </w:tr>
      <w:tr w14:paraId="53784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478265C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499BF73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91" w:type="dxa"/>
          </w:tcPr>
          <w:p w14:paraId="121ABB5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(0,001)</w:t>
            </w:r>
          </w:p>
        </w:tc>
        <w:tc>
          <w:tcPr>
            <w:tcW w:w="967" w:type="dxa"/>
          </w:tcPr>
          <w:p w14:paraId="165AED7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(0,001)</w:t>
            </w:r>
          </w:p>
        </w:tc>
        <w:tc>
          <w:tcPr>
            <w:tcW w:w="924" w:type="dxa"/>
          </w:tcPr>
          <w:p w14:paraId="09CF22F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(0,017)</w:t>
            </w:r>
          </w:p>
        </w:tc>
        <w:tc>
          <w:tcPr>
            <w:tcW w:w="953" w:type="dxa"/>
          </w:tcPr>
          <w:p w14:paraId="79D32EC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(0,001)</w:t>
            </w:r>
          </w:p>
        </w:tc>
        <w:tc>
          <w:tcPr>
            <w:tcW w:w="975" w:type="dxa"/>
          </w:tcPr>
          <w:p w14:paraId="03628AA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(0,003)</w:t>
            </w:r>
          </w:p>
        </w:tc>
        <w:tc>
          <w:tcPr>
            <w:tcW w:w="1408" w:type="dxa"/>
          </w:tcPr>
          <w:p w14:paraId="1E3F255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6FB5310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1DDDAD8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2B81F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33E64D9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Молибден (Mo)</w:t>
            </w:r>
          </w:p>
        </w:tc>
        <w:tc>
          <w:tcPr>
            <w:tcW w:w="991" w:type="dxa"/>
          </w:tcPr>
          <w:p w14:paraId="2864F88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0</w:t>
            </w:r>
          </w:p>
        </w:tc>
        <w:tc>
          <w:tcPr>
            <w:tcW w:w="967" w:type="dxa"/>
          </w:tcPr>
          <w:p w14:paraId="34A62F8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0</w:t>
            </w:r>
          </w:p>
        </w:tc>
        <w:tc>
          <w:tcPr>
            <w:tcW w:w="924" w:type="dxa"/>
          </w:tcPr>
          <w:p w14:paraId="3AA0104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0</w:t>
            </w:r>
          </w:p>
        </w:tc>
        <w:tc>
          <w:tcPr>
            <w:tcW w:w="953" w:type="dxa"/>
          </w:tcPr>
          <w:p w14:paraId="41BC178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0</w:t>
            </w:r>
          </w:p>
        </w:tc>
        <w:tc>
          <w:tcPr>
            <w:tcW w:w="975" w:type="dxa"/>
          </w:tcPr>
          <w:p w14:paraId="48A9B98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0,73</w:t>
            </w:r>
          </w:p>
        </w:tc>
        <w:tc>
          <w:tcPr>
            <w:tcW w:w="1408" w:type="dxa"/>
          </w:tcPr>
          <w:p w14:paraId="2347D70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250</w:t>
            </w:r>
          </w:p>
        </w:tc>
        <w:tc>
          <w:tcPr>
            <w:tcW w:w="1027" w:type="dxa"/>
          </w:tcPr>
          <w:p w14:paraId="353BC70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027" w:type="dxa"/>
          </w:tcPr>
          <w:p w14:paraId="35624DF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</w:t>
            </w:r>
          </w:p>
        </w:tc>
      </w:tr>
      <w:tr w14:paraId="6C8E8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34D5D36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3263328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91" w:type="dxa"/>
          </w:tcPr>
          <w:p w14:paraId="58474DB3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967" w:type="dxa"/>
          </w:tcPr>
          <w:p w14:paraId="182E720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924" w:type="dxa"/>
          </w:tcPr>
          <w:p w14:paraId="19367E2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953" w:type="dxa"/>
          </w:tcPr>
          <w:p w14:paraId="2993EF3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975" w:type="dxa"/>
          </w:tcPr>
          <w:p w14:paraId="0778820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(0,04)</w:t>
            </w:r>
          </w:p>
        </w:tc>
        <w:tc>
          <w:tcPr>
            <w:tcW w:w="1408" w:type="dxa"/>
          </w:tcPr>
          <w:p w14:paraId="42E5DF9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19F2B06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5C30BB1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360C2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02583E8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Свинец (Pb)</w:t>
            </w:r>
          </w:p>
        </w:tc>
        <w:tc>
          <w:tcPr>
            <w:tcW w:w="991" w:type="dxa"/>
          </w:tcPr>
          <w:p w14:paraId="503FEC4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0,53</w:t>
            </w:r>
          </w:p>
        </w:tc>
        <w:tc>
          <w:tcPr>
            <w:tcW w:w="967" w:type="dxa"/>
          </w:tcPr>
          <w:p w14:paraId="4AF6662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0,61</w:t>
            </w:r>
          </w:p>
        </w:tc>
        <w:tc>
          <w:tcPr>
            <w:tcW w:w="924" w:type="dxa"/>
          </w:tcPr>
          <w:p w14:paraId="0265ECA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0,69</w:t>
            </w:r>
          </w:p>
        </w:tc>
        <w:tc>
          <w:tcPr>
            <w:tcW w:w="953" w:type="dxa"/>
          </w:tcPr>
          <w:p w14:paraId="573EF04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0,54</w:t>
            </w:r>
          </w:p>
        </w:tc>
        <w:tc>
          <w:tcPr>
            <w:tcW w:w="975" w:type="dxa"/>
          </w:tcPr>
          <w:p w14:paraId="5AD07DB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0,68</w:t>
            </w:r>
          </w:p>
        </w:tc>
        <w:tc>
          <w:tcPr>
            <w:tcW w:w="1408" w:type="dxa"/>
          </w:tcPr>
          <w:p w14:paraId="3BEB355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30</w:t>
            </w:r>
          </w:p>
        </w:tc>
        <w:tc>
          <w:tcPr>
            <w:tcW w:w="1027" w:type="dxa"/>
          </w:tcPr>
          <w:p w14:paraId="1B2553E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6</w:t>
            </w:r>
          </w:p>
        </w:tc>
        <w:tc>
          <w:tcPr>
            <w:tcW w:w="1027" w:type="dxa"/>
          </w:tcPr>
          <w:p w14:paraId="632BD9D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</w:t>
            </w:r>
          </w:p>
        </w:tc>
      </w:tr>
      <w:tr w14:paraId="55C62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2" w:type="dxa"/>
          </w:tcPr>
          <w:p w14:paraId="3179397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5111CF8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91" w:type="dxa"/>
          </w:tcPr>
          <w:p w14:paraId="1E5B477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67" w:type="dxa"/>
          </w:tcPr>
          <w:p w14:paraId="201529B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24" w:type="dxa"/>
          </w:tcPr>
          <w:p w14:paraId="172E9EF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53" w:type="dxa"/>
          </w:tcPr>
          <w:p w14:paraId="65CD363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(0,07)</w:t>
            </w:r>
          </w:p>
        </w:tc>
        <w:tc>
          <w:tcPr>
            <w:tcW w:w="975" w:type="dxa"/>
          </w:tcPr>
          <w:p w14:paraId="0FA9A7C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1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)</w:t>
            </w:r>
          </w:p>
        </w:tc>
        <w:tc>
          <w:tcPr>
            <w:tcW w:w="1408" w:type="dxa"/>
          </w:tcPr>
          <w:p w14:paraId="38DEF10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3BF5A1A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27" w:type="dxa"/>
          </w:tcPr>
          <w:p w14:paraId="5AB42E2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</w:tbl>
    <w:p w14:paraId="385F90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/>
          <w:b w:val="0"/>
          <w:bCs w:val="0"/>
          <w:i/>
          <w:iCs/>
          <w:sz w:val="24"/>
          <w:szCs w:val="24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sz w:val="24"/>
          <w:szCs w:val="24"/>
        </w:rPr>
        <w:t>Примечание: Значения в скобках — коэффициент вариации. «–» означает отсутствие установленного норматива.</w:t>
      </w:r>
    </w:p>
    <w:p w14:paraId="46E330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>Анализ полученных данных по элементам II класса опасности выявил следующее.</w:t>
      </w:r>
    </w:p>
    <w:p w14:paraId="2ECACF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sz w:val="28"/>
          <w:szCs w:val="28"/>
        </w:rPr>
        <w:t xml:space="preserve">Концентрации серебра (Ag) и кадмия (Cd) 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>во всех исследованных пробах оказались крайне низкими. Их значения не только не превышали нормативов ПДК, но в большинстве случаев были ниже средних фоновых уровней (кларков) для речных вод.</w:t>
      </w:r>
    </w:p>
    <w:p w14:paraId="250B9F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sz w:val="28"/>
          <w:szCs w:val="28"/>
        </w:rPr>
        <w:t>Содержание молибдена (Mo)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 xml:space="preserve"> также характеризовалось как низкое. В четырёх из пяти проб элемент не был обнаружен, а в одной пробе (№5) зафиксирована незначительно повышенная концентрация. Данное наблюдение согласуется с литературными источниками, указывающими, что относительно более высокие концентрации молибдена могут отмечаться в подземных (родниковых) водах горных районов Кабардино-Балкарии [1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  <w:lang w:val="ru-RU"/>
        </w:rPr>
        <w:t>7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>].</w:t>
      </w:r>
    </w:p>
    <w:p w14:paraId="048011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 xml:space="preserve">Что касается </w:t>
      </w:r>
      <w:r>
        <w:rPr>
          <w:rFonts w:hint="default" w:ascii="Times New Roman" w:hAnsi="Times New Roman" w:eastAsia="SimSun"/>
          <w:b w:val="0"/>
          <w:bCs w:val="0"/>
          <w:i/>
          <w:iCs/>
          <w:sz w:val="28"/>
          <w:szCs w:val="28"/>
        </w:rPr>
        <w:t>свинца (Pb)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>, то его содержание в водах бассейна Хазнидона не выходило за рамки кларковых значений и было значительно ниже установленных нормативов ПДК.</w:t>
      </w:r>
    </w:p>
    <w:p w14:paraId="6FA501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 xml:space="preserve">Отдельно следует отметить </w:t>
      </w:r>
      <w:r>
        <w:rPr>
          <w:rFonts w:hint="default" w:ascii="Times New Roman" w:hAnsi="Times New Roman" w:eastAsia="SimSun"/>
          <w:b w:val="0"/>
          <w:bCs w:val="0"/>
          <w:i/>
          <w:iCs/>
          <w:sz w:val="28"/>
          <w:szCs w:val="28"/>
        </w:rPr>
        <w:t>серебро (Ag)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>, данные по которому были включены в анализ, несмотря на отсутствие его в нормативах для рыбохозяйственных водоёмов [1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  <w:lang w:val="ru-RU"/>
        </w:rPr>
        <w:t>1</w:t>
      </w: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>]. Это решение обусловлено высокой токсичностью ионов серебра для гидробионтов, в частности для микроорганизмов и простейших, что делает его важным показателем при комплексной экологической оценке.</w:t>
      </w:r>
    </w:p>
    <w:p w14:paraId="65D2B0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/>
          <w:b w:val="0"/>
          <w:bCs w:val="0"/>
          <w:i w:val="0"/>
          <w:iCs w:val="0"/>
          <w:sz w:val="28"/>
          <w:szCs w:val="28"/>
        </w:rPr>
        <w:t>Результаты определения концентраций микроэлементов III и IV классов опасности обобщены в Таблице 5.</w:t>
      </w:r>
    </w:p>
    <w:p w14:paraId="204AE2B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Таблица 5 Концентрации микроэлементов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III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и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IV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классов опасности (мкг/л) в </w:t>
      </w:r>
    </w:p>
    <w:p w14:paraId="18D150A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водах верховья реки Хазнидон (коэффициент вариации)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3"/>
        <w:gridCol w:w="965"/>
        <w:gridCol w:w="945"/>
        <w:gridCol w:w="904"/>
        <w:gridCol w:w="932"/>
        <w:gridCol w:w="950"/>
        <w:gridCol w:w="1403"/>
        <w:gridCol w:w="1175"/>
        <w:gridCol w:w="1007"/>
      </w:tblGrid>
      <w:tr w14:paraId="0AF32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3792041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 xml:space="preserve">Элемент / </w:t>
            </w:r>
          </w:p>
          <w:p w14:paraId="7D7A2E2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Показатель</w:t>
            </w:r>
          </w:p>
        </w:tc>
        <w:tc>
          <w:tcPr>
            <w:tcW w:w="965" w:type="dxa"/>
          </w:tcPr>
          <w:p w14:paraId="3C5268C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Проба 1</w:t>
            </w:r>
          </w:p>
        </w:tc>
        <w:tc>
          <w:tcPr>
            <w:tcW w:w="945" w:type="dxa"/>
          </w:tcPr>
          <w:p w14:paraId="2013E08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2</w:t>
            </w:r>
          </w:p>
        </w:tc>
        <w:tc>
          <w:tcPr>
            <w:tcW w:w="904" w:type="dxa"/>
          </w:tcPr>
          <w:p w14:paraId="14C2381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3</w:t>
            </w:r>
          </w:p>
        </w:tc>
        <w:tc>
          <w:tcPr>
            <w:tcW w:w="932" w:type="dxa"/>
          </w:tcPr>
          <w:p w14:paraId="45B63EF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4</w:t>
            </w:r>
          </w:p>
        </w:tc>
        <w:tc>
          <w:tcPr>
            <w:tcW w:w="950" w:type="dxa"/>
          </w:tcPr>
          <w:p w14:paraId="3501BE8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Проба 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5</w:t>
            </w:r>
          </w:p>
        </w:tc>
        <w:tc>
          <w:tcPr>
            <w:tcW w:w="1403" w:type="dxa"/>
          </w:tcPr>
          <w:p w14:paraId="3840D99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ПДК </w:t>
            </w:r>
          </w:p>
          <w:p w14:paraId="2D3E0D2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(питьевая)</w:t>
            </w:r>
          </w:p>
        </w:tc>
        <w:tc>
          <w:tcPr>
            <w:tcW w:w="1175" w:type="dxa"/>
          </w:tcPr>
          <w:p w14:paraId="2C32138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ПДК </w:t>
            </w:r>
          </w:p>
          <w:p w14:paraId="6536EE9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(рыбхоз.)</w:t>
            </w:r>
          </w:p>
        </w:tc>
        <w:tc>
          <w:tcPr>
            <w:tcW w:w="1007" w:type="dxa"/>
          </w:tcPr>
          <w:p w14:paraId="746575D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Кларк речных вод</w:t>
            </w:r>
          </w:p>
        </w:tc>
      </w:tr>
      <w:tr w14:paraId="7FF7B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31504FF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Мышьяк (As)</w:t>
            </w:r>
          </w:p>
        </w:tc>
        <w:tc>
          <w:tcPr>
            <w:tcW w:w="965" w:type="dxa"/>
          </w:tcPr>
          <w:p w14:paraId="4F42E223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0,90</w:t>
            </w:r>
          </w:p>
        </w:tc>
        <w:tc>
          <w:tcPr>
            <w:tcW w:w="945" w:type="dxa"/>
          </w:tcPr>
          <w:p w14:paraId="4E5576B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</w:t>
            </w:r>
          </w:p>
        </w:tc>
        <w:tc>
          <w:tcPr>
            <w:tcW w:w="904" w:type="dxa"/>
          </w:tcPr>
          <w:p w14:paraId="3E07737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1,21</w:t>
            </w:r>
          </w:p>
        </w:tc>
        <w:tc>
          <w:tcPr>
            <w:tcW w:w="932" w:type="dxa"/>
          </w:tcPr>
          <w:p w14:paraId="1FBB48C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0,46</w:t>
            </w:r>
          </w:p>
        </w:tc>
        <w:tc>
          <w:tcPr>
            <w:tcW w:w="950" w:type="dxa"/>
          </w:tcPr>
          <w:p w14:paraId="6BBE542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0,75</w:t>
            </w:r>
          </w:p>
        </w:tc>
        <w:tc>
          <w:tcPr>
            <w:tcW w:w="1403" w:type="dxa"/>
          </w:tcPr>
          <w:p w14:paraId="42B09F6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10</w:t>
            </w:r>
          </w:p>
        </w:tc>
        <w:tc>
          <w:tcPr>
            <w:tcW w:w="1175" w:type="dxa"/>
          </w:tcPr>
          <w:p w14:paraId="75555F4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50</w:t>
            </w:r>
          </w:p>
        </w:tc>
        <w:tc>
          <w:tcPr>
            <w:tcW w:w="1007" w:type="dxa"/>
          </w:tcPr>
          <w:p w14:paraId="2EFD63B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2</w:t>
            </w:r>
          </w:p>
        </w:tc>
      </w:tr>
      <w:tr w14:paraId="18FE4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1DAB3A2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106C2D4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65" w:type="dxa"/>
          </w:tcPr>
          <w:p w14:paraId="0BD20E3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(0,13)</w:t>
            </w:r>
          </w:p>
        </w:tc>
        <w:tc>
          <w:tcPr>
            <w:tcW w:w="945" w:type="dxa"/>
          </w:tcPr>
          <w:p w14:paraId="7509D96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904" w:type="dxa"/>
          </w:tcPr>
          <w:p w14:paraId="5298333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(0,11)</w:t>
            </w:r>
          </w:p>
        </w:tc>
        <w:tc>
          <w:tcPr>
            <w:tcW w:w="932" w:type="dxa"/>
          </w:tcPr>
          <w:p w14:paraId="5AC93AB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(0,06)</w:t>
            </w:r>
          </w:p>
        </w:tc>
        <w:tc>
          <w:tcPr>
            <w:tcW w:w="950" w:type="dxa"/>
          </w:tcPr>
          <w:p w14:paraId="0D1296A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(0,14)</w:t>
            </w:r>
          </w:p>
        </w:tc>
        <w:tc>
          <w:tcPr>
            <w:tcW w:w="1403" w:type="dxa"/>
          </w:tcPr>
          <w:p w14:paraId="0C2EFA0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175" w:type="dxa"/>
          </w:tcPr>
          <w:p w14:paraId="6301AE7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07" w:type="dxa"/>
          </w:tcPr>
          <w:p w14:paraId="448432B3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5AF13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020FE03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Алюминий (Al)</w:t>
            </w:r>
          </w:p>
        </w:tc>
        <w:tc>
          <w:tcPr>
            <w:tcW w:w="965" w:type="dxa"/>
          </w:tcPr>
          <w:p w14:paraId="466DBBC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51,32</w:t>
            </w:r>
          </w:p>
        </w:tc>
        <w:tc>
          <w:tcPr>
            <w:tcW w:w="945" w:type="dxa"/>
          </w:tcPr>
          <w:p w14:paraId="286B5EB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11,77</w:t>
            </w:r>
          </w:p>
        </w:tc>
        <w:tc>
          <w:tcPr>
            <w:tcW w:w="904" w:type="dxa"/>
          </w:tcPr>
          <w:p w14:paraId="6B594EB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12,00</w:t>
            </w:r>
          </w:p>
        </w:tc>
        <w:tc>
          <w:tcPr>
            <w:tcW w:w="932" w:type="dxa"/>
          </w:tcPr>
          <w:p w14:paraId="23ADE5C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15,53</w:t>
            </w:r>
          </w:p>
        </w:tc>
        <w:tc>
          <w:tcPr>
            <w:tcW w:w="950" w:type="dxa"/>
          </w:tcPr>
          <w:p w14:paraId="1F88F8D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27,73</w:t>
            </w:r>
          </w:p>
        </w:tc>
        <w:tc>
          <w:tcPr>
            <w:tcW w:w="1403" w:type="dxa"/>
          </w:tcPr>
          <w:p w14:paraId="0B76477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200</w:t>
            </w:r>
          </w:p>
        </w:tc>
        <w:tc>
          <w:tcPr>
            <w:tcW w:w="1175" w:type="dxa"/>
          </w:tcPr>
          <w:p w14:paraId="27B1112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40</w:t>
            </w:r>
          </w:p>
        </w:tc>
        <w:tc>
          <w:tcPr>
            <w:tcW w:w="1007" w:type="dxa"/>
          </w:tcPr>
          <w:p w14:paraId="1A3B5C5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160</w:t>
            </w:r>
          </w:p>
        </w:tc>
      </w:tr>
      <w:tr w14:paraId="0C10C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71D1487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198BD69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65" w:type="dxa"/>
          </w:tcPr>
          <w:p w14:paraId="4EEC760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(4,01)</w:t>
            </w:r>
          </w:p>
        </w:tc>
        <w:tc>
          <w:tcPr>
            <w:tcW w:w="945" w:type="dxa"/>
          </w:tcPr>
          <w:p w14:paraId="6DB789A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(1,62)</w:t>
            </w:r>
          </w:p>
        </w:tc>
        <w:tc>
          <w:tcPr>
            <w:tcW w:w="904" w:type="dxa"/>
          </w:tcPr>
          <w:p w14:paraId="2DC74BB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(1,31)</w:t>
            </w:r>
          </w:p>
        </w:tc>
        <w:tc>
          <w:tcPr>
            <w:tcW w:w="932" w:type="dxa"/>
          </w:tcPr>
          <w:p w14:paraId="5DDBBC4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(0,36)</w:t>
            </w:r>
          </w:p>
        </w:tc>
        <w:tc>
          <w:tcPr>
            <w:tcW w:w="950" w:type="dxa"/>
          </w:tcPr>
          <w:p w14:paraId="7C61045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(0,51)</w:t>
            </w:r>
          </w:p>
        </w:tc>
        <w:tc>
          <w:tcPr>
            <w:tcW w:w="1403" w:type="dxa"/>
          </w:tcPr>
          <w:p w14:paraId="038CD8A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175" w:type="dxa"/>
          </w:tcPr>
          <w:p w14:paraId="729C32E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07" w:type="dxa"/>
          </w:tcPr>
          <w:p w14:paraId="4B85D00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666DB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2B316A9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Медь (Cu)</w:t>
            </w:r>
          </w:p>
        </w:tc>
        <w:tc>
          <w:tcPr>
            <w:tcW w:w="965" w:type="dxa"/>
          </w:tcPr>
          <w:p w14:paraId="59BF667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0,99</w:t>
            </w:r>
          </w:p>
        </w:tc>
        <w:tc>
          <w:tcPr>
            <w:tcW w:w="945" w:type="dxa"/>
          </w:tcPr>
          <w:p w14:paraId="6E8AA8F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0,95</w:t>
            </w:r>
          </w:p>
        </w:tc>
        <w:tc>
          <w:tcPr>
            <w:tcW w:w="904" w:type="dxa"/>
          </w:tcPr>
          <w:p w14:paraId="56EA205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1,74</w:t>
            </w:r>
          </w:p>
        </w:tc>
        <w:tc>
          <w:tcPr>
            <w:tcW w:w="932" w:type="dxa"/>
          </w:tcPr>
          <w:p w14:paraId="0265FD6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1,27</w:t>
            </w:r>
          </w:p>
        </w:tc>
        <w:tc>
          <w:tcPr>
            <w:tcW w:w="950" w:type="dxa"/>
          </w:tcPr>
          <w:p w14:paraId="15C648E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1,05</w:t>
            </w:r>
          </w:p>
        </w:tc>
        <w:tc>
          <w:tcPr>
            <w:tcW w:w="1403" w:type="dxa"/>
            <w:shd w:val="clear" w:color="auto" w:fill="auto"/>
            <w:vAlign w:val="top"/>
          </w:tcPr>
          <w:p w14:paraId="0A8FFD9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1000</w:t>
            </w:r>
          </w:p>
        </w:tc>
        <w:tc>
          <w:tcPr>
            <w:tcW w:w="1175" w:type="dxa"/>
            <w:shd w:val="clear" w:color="auto" w:fill="auto"/>
            <w:vAlign w:val="top"/>
          </w:tcPr>
          <w:p w14:paraId="083776C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top"/>
          </w:tcPr>
          <w:p w14:paraId="79E90A9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7</w:t>
            </w:r>
          </w:p>
        </w:tc>
      </w:tr>
      <w:tr w14:paraId="09E5D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57E2097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7CBD95D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65" w:type="dxa"/>
          </w:tcPr>
          <w:p w14:paraId="18CC565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(0,05)</w:t>
            </w:r>
          </w:p>
        </w:tc>
        <w:tc>
          <w:tcPr>
            <w:tcW w:w="945" w:type="dxa"/>
          </w:tcPr>
          <w:p w14:paraId="0C965B8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(0,09)</w:t>
            </w:r>
          </w:p>
        </w:tc>
        <w:tc>
          <w:tcPr>
            <w:tcW w:w="904" w:type="dxa"/>
          </w:tcPr>
          <w:p w14:paraId="7EFA261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(0,23)</w:t>
            </w:r>
          </w:p>
        </w:tc>
        <w:tc>
          <w:tcPr>
            <w:tcW w:w="932" w:type="dxa"/>
          </w:tcPr>
          <w:p w14:paraId="3D0C9F6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(0,03)</w:t>
            </w:r>
          </w:p>
        </w:tc>
        <w:tc>
          <w:tcPr>
            <w:tcW w:w="950" w:type="dxa"/>
          </w:tcPr>
          <w:p w14:paraId="6FBE708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(0,10)</w:t>
            </w:r>
          </w:p>
        </w:tc>
        <w:tc>
          <w:tcPr>
            <w:tcW w:w="1403" w:type="dxa"/>
          </w:tcPr>
          <w:p w14:paraId="1A5AD3E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175" w:type="dxa"/>
          </w:tcPr>
          <w:p w14:paraId="0F4CA5E3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07" w:type="dxa"/>
          </w:tcPr>
          <w:p w14:paraId="523BAB23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041FE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34B9C79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Хром (Cr)</w:t>
            </w:r>
          </w:p>
        </w:tc>
        <w:tc>
          <w:tcPr>
            <w:tcW w:w="965" w:type="dxa"/>
          </w:tcPr>
          <w:p w14:paraId="13A3CDC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0,51</w:t>
            </w:r>
          </w:p>
        </w:tc>
        <w:tc>
          <w:tcPr>
            <w:tcW w:w="945" w:type="dxa"/>
          </w:tcPr>
          <w:p w14:paraId="651CD68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0,76</w:t>
            </w:r>
          </w:p>
        </w:tc>
        <w:tc>
          <w:tcPr>
            <w:tcW w:w="904" w:type="dxa"/>
          </w:tcPr>
          <w:p w14:paraId="6B2B93A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0,60</w:t>
            </w:r>
          </w:p>
        </w:tc>
        <w:tc>
          <w:tcPr>
            <w:tcW w:w="932" w:type="dxa"/>
          </w:tcPr>
          <w:p w14:paraId="773FFA5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0,57</w:t>
            </w:r>
          </w:p>
        </w:tc>
        <w:tc>
          <w:tcPr>
            <w:tcW w:w="950" w:type="dxa"/>
          </w:tcPr>
          <w:p w14:paraId="45ABE9A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0,30</w:t>
            </w:r>
          </w:p>
        </w:tc>
        <w:tc>
          <w:tcPr>
            <w:tcW w:w="1403" w:type="dxa"/>
          </w:tcPr>
          <w:p w14:paraId="1A4A4BA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50</w:t>
            </w:r>
          </w:p>
        </w:tc>
        <w:tc>
          <w:tcPr>
            <w:tcW w:w="1175" w:type="dxa"/>
          </w:tcPr>
          <w:p w14:paraId="37F699E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</w:t>
            </w:r>
          </w:p>
        </w:tc>
        <w:tc>
          <w:tcPr>
            <w:tcW w:w="1007" w:type="dxa"/>
          </w:tcPr>
          <w:p w14:paraId="53BB1CD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</w:t>
            </w:r>
          </w:p>
        </w:tc>
      </w:tr>
      <w:tr w14:paraId="4B651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22EFCCB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6E1E6AA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65" w:type="dxa"/>
          </w:tcPr>
          <w:p w14:paraId="7CF782A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(0,06)</w:t>
            </w:r>
          </w:p>
        </w:tc>
        <w:tc>
          <w:tcPr>
            <w:tcW w:w="945" w:type="dxa"/>
          </w:tcPr>
          <w:p w14:paraId="42902EF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1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1)</w:t>
            </w:r>
          </w:p>
        </w:tc>
        <w:tc>
          <w:tcPr>
            <w:tcW w:w="904" w:type="dxa"/>
          </w:tcPr>
          <w:p w14:paraId="7582E11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8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)</w:t>
            </w:r>
          </w:p>
        </w:tc>
        <w:tc>
          <w:tcPr>
            <w:tcW w:w="932" w:type="dxa"/>
          </w:tcPr>
          <w:p w14:paraId="343AFAF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(0,07)</w:t>
            </w:r>
          </w:p>
        </w:tc>
        <w:tc>
          <w:tcPr>
            <w:tcW w:w="950" w:type="dxa"/>
          </w:tcPr>
          <w:p w14:paraId="5ED699F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(0,00)</w:t>
            </w:r>
          </w:p>
        </w:tc>
        <w:tc>
          <w:tcPr>
            <w:tcW w:w="1403" w:type="dxa"/>
          </w:tcPr>
          <w:p w14:paraId="6A717A1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175" w:type="dxa"/>
          </w:tcPr>
          <w:p w14:paraId="1912B44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07" w:type="dxa"/>
          </w:tcPr>
          <w:p w14:paraId="33EABCB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7A4F9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6854304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Марганец (Mn)</w:t>
            </w:r>
          </w:p>
        </w:tc>
        <w:tc>
          <w:tcPr>
            <w:tcW w:w="965" w:type="dxa"/>
          </w:tcPr>
          <w:p w14:paraId="2787467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1,90</w:t>
            </w:r>
          </w:p>
        </w:tc>
        <w:tc>
          <w:tcPr>
            <w:tcW w:w="945" w:type="dxa"/>
          </w:tcPr>
          <w:p w14:paraId="64B8197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2,30</w:t>
            </w:r>
          </w:p>
        </w:tc>
        <w:tc>
          <w:tcPr>
            <w:tcW w:w="904" w:type="dxa"/>
          </w:tcPr>
          <w:p w14:paraId="7FE5CED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1,34</w:t>
            </w:r>
          </w:p>
        </w:tc>
        <w:tc>
          <w:tcPr>
            <w:tcW w:w="932" w:type="dxa"/>
          </w:tcPr>
          <w:p w14:paraId="5145DE8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2,32</w:t>
            </w:r>
          </w:p>
        </w:tc>
        <w:tc>
          <w:tcPr>
            <w:tcW w:w="950" w:type="dxa"/>
          </w:tcPr>
          <w:p w14:paraId="15EC1C8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1,74</w:t>
            </w:r>
          </w:p>
        </w:tc>
        <w:tc>
          <w:tcPr>
            <w:tcW w:w="1403" w:type="dxa"/>
            <w:shd w:val="clear" w:color="auto" w:fill="auto"/>
            <w:vAlign w:val="top"/>
          </w:tcPr>
          <w:p w14:paraId="1B3E0FB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100</w:t>
            </w:r>
          </w:p>
        </w:tc>
        <w:tc>
          <w:tcPr>
            <w:tcW w:w="1175" w:type="dxa"/>
            <w:shd w:val="clear" w:color="auto" w:fill="auto"/>
            <w:vAlign w:val="top"/>
          </w:tcPr>
          <w:p w14:paraId="5485F35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  <w:t>10</w:t>
            </w:r>
          </w:p>
        </w:tc>
        <w:tc>
          <w:tcPr>
            <w:tcW w:w="1007" w:type="dxa"/>
            <w:shd w:val="clear" w:color="auto" w:fill="auto"/>
            <w:vAlign w:val="top"/>
          </w:tcPr>
          <w:p w14:paraId="5D8D087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 w:eastAsia="zh-CN" w:bidi="ar-SA"/>
              </w:rPr>
              <w:t>10</w:t>
            </w:r>
          </w:p>
        </w:tc>
      </w:tr>
      <w:tr w14:paraId="1B054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2CE8CEE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3D082A9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65" w:type="dxa"/>
          </w:tcPr>
          <w:p w14:paraId="1B3A7D9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(0,22)</w:t>
            </w:r>
          </w:p>
        </w:tc>
        <w:tc>
          <w:tcPr>
            <w:tcW w:w="945" w:type="dxa"/>
          </w:tcPr>
          <w:p w14:paraId="2AA4F86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(0,03)</w:t>
            </w:r>
          </w:p>
        </w:tc>
        <w:tc>
          <w:tcPr>
            <w:tcW w:w="904" w:type="dxa"/>
          </w:tcPr>
          <w:p w14:paraId="699A780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(0,05)</w:t>
            </w:r>
          </w:p>
        </w:tc>
        <w:tc>
          <w:tcPr>
            <w:tcW w:w="932" w:type="dxa"/>
          </w:tcPr>
          <w:p w14:paraId="473D9EA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50" w:type="dxa"/>
          </w:tcPr>
          <w:p w14:paraId="42FA8F3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(0,14)</w:t>
            </w:r>
          </w:p>
        </w:tc>
        <w:tc>
          <w:tcPr>
            <w:tcW w:w="1403" w:type="dxa"/>
          </w:tcPr>
          <w:p w14:paraId="102AB666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175" w:type="dxa"/>
          </w:tcPr>
          <w:p w14:paraId="452A3AB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07" w:type="dxa"/>
          </w:tcPr>
          <w:p w14:paraId="4174D25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62919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37A412D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Никель (Ni)</w:t>
            </w:r>
          </w:p>
        </w:tc>
        <w:tc>
          <w:tcPr>
            <w:tcW w:w="965" w:type="dxa"/>
          </w:tcPr>
          <w:p w14:paraId="32CD7E4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1,22</w:t>
            </w:r>
          </w:p>
        </w:tc>
        <w:tc>
          <w:tcPr>
            <w:tcW w:w="945" w:type="dxa"/>
          </w:tcPr>
          <w:p w14:paraId="7E452FD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0</w:t>
            </w:r>
          </w:p>
        </w:tc>
        <w:tc>
          <w:tcPr>
            <w:tcW w:w="904" w:type="dxa"/>
          </w:tcPr>
          <w:p w14:paraId="78C0C6A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0</w:t>
            </w:r>
          </w:p>
        </w:tc>
        <w:tc>
          <w:tcPr>
            <w:tcW w:w="932" w:type="dxa"/>
          </w:tcPr>
          <w:p w14:paraId="78DDB54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0,12</w:t>
            </w:r>
          </w:p>
        </w:tc>
        <w:tc>
          <w:tcPr>
            <w:tcW w:w="950" w:type="dxa"/>
          </w:tcPr>
          <w:p w14:paraId="5D9FB761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ru-RU"/>
              </w:rPr>
              <w:t>0</w:t>
            </w:r>
          </w:p>
        </w:tc>
        <w:tc>
          <w:tcPr>
            <w:tcW w:w="1403" w:type="dxa"/>
          </w:tcPr>
          <w:p w14:paraId="06C854E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20</w:t>
            </w:r>
          </w:p>
        </w:tc>
        <w:tc>
          <w:tcPr>
            <w:tcW w:w="1175" w:type="dxa"/>
          </w:tcPr>
          <w:p w14:paraId="643666B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10</w:t>
            </w:r>
          </w:p>
        </w:tc>
        <w:tc>
          <w:tcPr>
            <w:tcW w:w="1007" w:type="dxa"/>
          </w:tcPr>
          <w:p w14:paraId="55E5F82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2,5</w:t>
            </w:r>
          </w:p>
        </w:tc>
      </w:tr>
      <w:tr w14:paraId="3CBB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66D0B5CF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36E4D24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65" w:type="dxa"/>
          </w:tcPr>
          <w:p w14:paraId="2A6669F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(0,23)</w:t>
            </w:r>
          </w:p>
        </w:tc>
        <w:tc>
          <w:tcPr>
            <w:tcW w:w="945" w:type="dxa"/>
          </w:tcPr>
          <w:p w14:paraId="2722FA4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</w:p>
        </w:tc>
        <w:tc>
          <w:tcPr>
            <w:tcW w:w="904" w:type="dxa"/>
          </w:tcPr>
          <w:p w14:paraId="2328262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</w:p>
        </w:tc>
        <w:tc>
          <w:tcPr>
            <w:tcW w:w="932" w:type="dxa"/>
          </w:tcPr>
          <w:p w14:paraId="52BBDF4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(0,01)</w:t>
            </w:r>
          </w:p>
        </w:tc>
        <w:tc>
          <w:tcPr>
            <w:tcW w:w="950" w:type="dxa"/>
          </w:tcPr>
          <w:p w14:paraId="7994413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</w:p>
        </w:tc>
        <w:tc>
          <w:tcPr>
            <w:tcW w:w="1403" w:type="dxa"/>
          </w:tcPr>
          <w:p w14:paraId="5E2BF72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175" w:type="dxa"/>
          </w:tcPr>
          <w:p w14:paraId="1DC2550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07" w:type="dxa"/>
          </w:tcPr>
          <w:p w14:paraId="2ED2B39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 w14:paraId="63624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6472F909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7"/>
                <w:rFonts w:hint="default" w:ascii="Times New Roman" w:hAnsi="Times New Roman" w:eastAsia="Segoe UI" w:cs="Times New Roman"/>
                <w:b/>
                <w:bCs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Цинк (Zn)</w:t>
            </w:r>
          </w:p>
        </w:tc>
        <w:tc>
          <w:tcPr>
            <w:tcW w:w="965" w:type="dxa"/>
          </w:tcPr>
          <w:p w14:paraId="63AF057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33,55</w:t>
            </w:r>
          </w:p>
        </w:tc>
        <w:tc>
          <w:tcPr>
            <w:tcW w:w="945" w:type="dxa"/>
          </w:tcPr>
          <w:p w14:paraId="7B145165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70,31</w:t>
            </w:r>
          </w:p>
        </w:tc>
        <w:tc>
          <w:tcPr>
            <w:tcW w:w="904" w:type="dxa"/>
          </w:tcPr>
          <w:p w14:paraId="6C80E70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51,92</w:t>
            </w:r>
          </w:p>
        </w:tc>
        <w:tc>
          <w:tcPr>
            <w:tcW w:w="932" w:type="dxa"/>
          </w:tcPr>
          <w:p w14:paraId="379F6E6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34,77</w:t>
            </w:r>
          </w:p>
        </w:tc>
        <w:tc>
          <w:tcPr>
            <w:tcW w:w="950" w:type="dxa"/>
          </w:tcPr>
          <w:p w14:paraId="09DE2C9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55,35</w:t>
            </w:r>
          </w:p>
        </w:tc>
        <w:tc>
          <w:tcPr>
            <w:tcW w:w="1403" w:type="dxa"/>
          </w:tcPr>
          <w:p w14:paraId="7FC5303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5000</w:t>
            </w:r>
          </w:p>
        </w:tc>
        <w:tc>
          <w:tcPr>
            <w:tcW w:w="1175" w:type="dxa"/>
          </w:tcPr>
          <w:p w14:paraId="6C252E7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10</w:t>
            </w:r>
          </w:p>
        </w:tc>
        <w:tc>
          <w:tcPr>
            <w:tcW w:w="1007" w:type="dxa"/>
          </w:tcPr>
          <w:p w14:paraId="1DE48EE7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  <w:t>20</w:t>
            </w:r>
          </w:p>
        </w:tc>
      </w:tr>
      <w:tr w14:paraId="35A1F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</w:tcPr>
          <w:p w14:paraId="27A2388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 xml:space="preserve">Коэф. </w:t>
            </w:r>
          </w:p>
          <w:p w14:paraId="3884E510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Style w:val="5"/>
                <w:rFonts w:hint="default" w:ascii="Times New Roman" w:hAnsi="Times New Roman" w:eastAsia="Segoe UI" w:cs="Times New Roman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вариации</w:t>
            </w:r>
          </w:p>
        </w:tc>
        <w:tc>
          <w:tcPr>
            <w:tcW w:w="965" w:type="dxa"/>
          </w:tcPr>
          <w:p w14:paraId="2FF4B97D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(3,53)</w:t>
            </w:r>
          </w:p>
        </w:tc>
        <w:tc>
          <w:tcPr>
            <w:tcW w:w="945" w:type="dxa"/>
          </w:tcPr>
          <w:p w14:paraId="0D294F8A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(3,02)</w:t>
            </w:r>
          </w:p>
        </w:tc>
        <w:tc>
          <w:tcPr>
            <w:tcW w:w="904" w:type="dxa"/>
          </w:tcPr>
          <w:p w14:paraId="30DCD16B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(2,12)</w:t>
            </w:r>
          </w:p>
        </w:tc>
        <w:tc>
          <w:tcPr>
            <w:tcW w:w="932" w:type="dxa"/>
          </w:tcPr>
          <w:p w14:paraId="7F4A4BC4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(0,16)</w:t>
            </w:r>
          </w:p>
        </w:tc>
        <w:tc>
          <w:tcPr>
            <w:tcW w:w="950" w:type="dxa"/>
          </w:tcPr>
          <w:p w14:paraId="299ECD1E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(3,40)</w:t>
            </w:r>
          </w:p>
        </w:tc>
        <w:tc>
          <w:tcPr>
            <w:tcW w:w="1403" w:type="dxa"/>
          </w:tcPr>
          <w:p w14:paraId="3C86BD98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175" w:type="dxa"/>
          </w:tcPr>
          <w:p w14:paraId="107DD7CC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1007" w:type="dxa"/>
          </w:tcPr>
          <w:p w14:paraId="0CF855A2"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</w:tbl>
    <w:p w14:paraId="181952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9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Style w:val="5"/>
          <w:rFonts w:hint="default" w:ascii="Times New Roman" w:hAnsi="Times New Roman" w:eastAsia="Segoe UI" w:cs="Times New Roman"/>
          <w:caps w:val="0"/>
          <w:color w:val="0F1115"/>
          <w:spacing w:val="0"/>
          <w:sz w:val="24"/>
          <w:szCs w:val="24"/>
          <w:shd w:val="clear" w:fill="FFFFFF"/>
        </w:rPr>
        <w:t>Примечание: Значения в скобках — коэффициент вариации</w:t>
      </w:r>
      <w:r>
        <w:rPr>
          <w:rStyle w:val="5"/>
          <w:rFonts w:hint="default" w:ascii="Times New Roman" w:hAnsi="Times New Roman" w:eastAsia="Segoe UI" w:cs="Times New Roman"/>
          <w:caps w:val="0"/>
          <w:color w:val="0F1115"/>
          <w:spacing w:val="0"/>
          <w:sz w:val="28"/>
          <w:szCs w:val="28"/>
          <w:shd w:val="clear" w:fill="FFFFFF"/>
        </w:rPr>
        <w:t>.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</w:t>
      </w:r>
    </w:p>
    <w:p w14:paraId="662A164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Результаты анализа элементов III и IV классов опасности позволили сделать следующие выводы об особенностях гидрохимического состава бассейна реки Хазнидон.</w:t>
      </w:r>
    </w:p>
    <w:p w14:paraId="7C3ADA84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/>
          <w:iCs/>
          <w:color w:val="0F1115"/>
          <w:sz w:val="28"/>
          <w:szCs w:val="28"/>
        </w:rPr>
        <w:t>Алюминий (Al)</w:t>
      </w:r>
      <w:r>
        <w:rPr>
          <w:rStyle w:val="7"/>
          <w:rFonts w:hint="default" w:ascii="Times New Roman" w:hAnsi="Times New Roman" w:eastAsia="Segoe UI" w:cs="Times New Roman"/>
          <w:b w:val="0"/>
          <w:bCs w:val="0"/>
          <w:color w:val="0F1115"/>
          <w:sz w:val="28"/>
          <w:szCs w:val="28"/>
        </w:rPr>
        <w:t>.</w:t>
      </w:r>
      <w:r>
        <w:rPr>
          <w:rStyle w:val="7"/>
          <w:rFonts w:hint="default" w:ascii="Times New Roman" w:hAnsi="Times New Roman" w:eastAsia="Segoe UI" w:cs="Times New Roman"/>
          <w:b/>
          <w:bCs/>
          <w:color w:val="0F111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Установленные концентрации алюминия в исследованных водотоках были существенно ниже, чем аналогичные показатели, характерные для бассейнов таких рек, как Черек Безенгийский, Баксан и Чегем [1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  <w:lang w:val="ru-RU"/>
        </w:rPr>
        <w:t>6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, 1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  <w:lang w:val="ru-RU"/>
        </w:rPr>
        <w:t>7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]. Это указывает на специфику пород водосбора и/или меньшую интенсивность процессов выветривания алюмосиликатов в верховьях Хазнидона.</w:t>
      </w:r>
    </w:p>
    <w:p w14:paraId="310F61FF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/>
          <w:iCs/>
          <w:color w:val="0F1115"/>
          <w:sz w:val="28"/>
          <w:szCs w:val="28"/>
        </w:rPr>
        <w:t>Мышьяк (As).</w:t>
      </w:r>
      <w:r>
        <w:rPr>
          <w:rStyle w:val="7"/>
          <w:rFonts w:hint="default" w:ascii="Times New Roman" w:hAnsi="Times New Roman" w:eastAsia="Segoe UI" w:cs="Times New Roman"/>
          <w:b/>
          <w:bCs/>
          <w:color w:val="0F111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Содержание мышьяка во всех отобранных пробах находилось на крайне низком уровне, значительно уступая средним фоновым значениям (кларкам) для речных вод.</w:t>
      </w:r>
    </w:p>
    <w:p w14:paraId="1CA12B8D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/>
          <w:iCs/>
          <w:color w:val="0F1115"/>
          <w:sz w:val="28"/>
          <w:szCs w:val="28"/>
        </w:rPr>
        <w:t>Хром (Cr).</w:t>
      </w:r>
      <w:r>
        <w:rPr>
          <w:rStyle w:val="7"/>
          <w:rFonts w:hint="default" w:ascii="Times New Roman" w:hAnsi="Times New Roman" w:eastAsia="Segoe UI" w:cs="Times New Roman"/>
          <w:b/>
          <w:bCs/>
          <w:color w:val="0F111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Концентрации хрома не выходили за пределы кларковых величин, что свидетельствует об отсутствии как антропогенных, так и выраженных природных аномалий по данному элементу.</w:t>
      </w:r>
    </w:p>
    <w:p w14:paraId="1158D7BA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/>
          <w:iCs/>
          <w:color w:val="0F1115"/>
          <w:sz w:val="28"/>
          <w:szCs w:val="28"/>
        </w:rPr>
        <w:t>Медь (Cu).</w:t>
      </w:r>
      <w:r>
        <w:rPr>
          <w:rStyle w:val="7"/>
          <w:rFonts w:hint="default" w:ascii="Times New Roman" w:hAnsi="Times New Roman" w:eastAsia="Segoe UI" w:cs="Times New Roman"/>
          <w:b/>
          <w:bCs/>
          <w:color w:val="0F111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Уровни содержания меди в водах бассейна были сравнительно невысокими (в среднем около 1 мкг/дм³) и ниже средних кларков. Однако в трёх пробах из пяти (№№ 3, 4, 5) зафиксировано превышение предельно допустимой концентрации, установленной для водоёмов рыбохозяйственного значения. Это указывает на естественную геохимическую специфику отдельных участков водосбора.</w:t>
      </w:r>
    </w:p>
    <w:p w14:paraId="49615932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/>
          <w:iCs/>
          <w:color w:val="0F1115"/>
          <w:sz w:val="28"/>
          <w:szCs w:val="28"/>
        </w:rPr>
        <w:t>Марганец (Mn).</w:t>
      </w:r>
      <w:r>
        <w:rPr>
          <w:rStyle w:val="7"/>
          <w:rFonts w:hint="default" w:ascii="Times New Roman" w:hAnsi="Times New Roman" w:eastAsia="Segoe UI" w:cs="Times New Roman"/>
          <w:b/>
          <w:bCs/>
          <w:color w:val="0F111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Концентрации марганца как в основном русле реки, так и в родниковых водах оказались ниже средних фоновых значений для речных систем.</w:t>
      </w:r>
    </w:p>
    <w:p w14:paraId="1030ED6F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/>
          <w:iCs/>
          <w:color w:val="0F1115"/>
          <w:sz w:val="28"/>
          <w:szCs w:val="28"/>
        </w:rPr>
        <w:t>Никель (Ni).</w:t>
      </w:r>
      <w:r>
        <w:rPr>
          <w:rStyle w:val="7"/>
          <w:rFonts w:hint="default" w:ascii="Times New Roman" w:hAnsi="Times New Roman" w:eastAsia="Segoe UI" w:cs="Times New Roman"/>
          <w:b/>
          <w:bCs/>
          <w:color w:val="0F111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Содержание никеля во всех точках отбора было значительно ниже его кларка, что подтверждает общий низкий уровень содержания данного элемента.</w:t>
      </w:r>
    </w:p>
    <w:p w14:paraId="68DF9563">
      <w:pPr>
        <w:pStyle w:val="10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7"/>
          <w:rFonts w:hint="default" w:ascii="Times New Roman" w:hAnsi="Times New Roman" w:eastAsia="Segoe UI" w:cs="Times New Roman"/>
          <w:b w:val="0"/>
          <w:bCs w:val="0"/>
          <w:i/>
          <w:iCs/>
          <w:color w:val="0F1115"/>
          <w:sz w:val="28"/>
          <w:szCs w:val="28"/>
        </w:rPr>
        <w:t>Цинк (Zn).</w:t>
      </w:r>
      <w:r>
        <w:rPr>
          <w:rStyle w:val="7"/>
          <w:rFonts w:hint="default" w:ascii="Times New Roman" w:hAnsi="Times New Roman" w:eastAsia="Segoe UI" w:cs="Times New Roman"/>
          <w:b/>
          <w:bCs/>
          <w:color w:val="0F111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color w:val="0F1115"/>
          <w:sz w:val="28"/>
          <w:szCs w:val="28"/>
        </w:rPr>
        <w:t>Наблюдается чёткая аномалия по содержанию цинка. Его концентрации стабильно превышают как средние фоновые значения (кларки) для речных вод, так и норматив ПДК для рыбохозяйственных водоёмов во всех без исключения исследованных пробах. Данный факт является ключевой геохимической особенностью бассейна реки Хазнидон и, вероятно, обусловлен естественным составом пород.</w:t>
      </w:r>
    </w:p>
    <w:p w14:paraId="0A1923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2D3C8260">
      <w:pPr>
        <w:keepNext w:val="0"/>
        <w:keepLines w:val="0"/>
        <w:widowControl/>
        <w:numPr>
          <w:ilvl w:val="0"/>
          <w:numId w:val="0"/>
        </w:numPr>
        <w:suppressLineNumbers w:val="0"/>
        <w:spacing w:before="72" w:beforeAutospacing="0" w:after="0" w:afterAutospacing="1"/>
        <w:ind w:left="-360" w:leftChars="0"/>
        <w:jc w:val="both"/>
        <w:rPr>
          <w:rFonts w:ascii="Times New Roman" w:hAnsi="Times New Roman" w:eastAsia="SimSun" w:cs="Times New Roman"/>
          <w:sz w:val="24"/>
          <w:szCs w:val="24"/>
        </w:rPr>
      </w:pPr>
      <w:r>
        <w:rPr>
          <w:rFonts w:ascii="Times New Roman" w:hAnsi="Times New Roman" w:eastAsia="SimSun" w:cs="Times New Roman"/>
          <w:sz w:val="24"/>
          <w:szCs w:val="24"/>
        </w:rPr>
        <w:br w:type="page"/>
      </w:r>
    </w:p>
    <w:p w14:paraId="621467C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left="-360" w:leftChars="0" w:firstLine="708" w:firstLineChars="0"/>
        <w:jc w:val="center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/>
        </w:rPr>
        <w:t>ГЛАВА IV. РЕКРЕАЦИОННАЯ ЗНАЧИМОСТЬ ТЕРРИТОРИИ НА ОСНОВЕ РЕЗУЛЬТАТОВ ЭКОЛОГИЧЕСКОЙ ОЦЕНКИ</w:t>
      </w:r>
    </w:p>
    <w:p w14:paraId="43ABC5D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Верховья реки Хазнидон, протекающей по территории Кабардино-Балкарского высокогорного заповедника, долгое время оставались белым пятном на экологической карте региона. Впервые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данное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исследование не только показало высочайшую чистоту здешних вод, но и научно обосновало огромный потенциал этой территории для развития туризма.</w:t>
      </w:r>
    </w:p>
    <w:p w14:paraId="376FD33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В ходе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исследовательской  работы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были отобраны и проанализированы пробы воды. Результаты оказались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следу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ющими: органолептические свойства (запах, цветность, мутность) соответствуют эталонным стандартам для питьевой воды, а содержание подавляющего большинства токсичных элементов (свинец, кадмий, никель и др.) находится на крайне низком, фоновом уровне.</w:t>
      </w:r>
    </w:p>
    <w:p w14:paraId="15D613B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Наши данные свидетельствуют, что общий уровень содержания потенциально токсичных элементов в бассейне р. Хазнидон является самым низким по сравнению с другими изученными реками Кабардино-Балкарии,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э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то подтверждает их высокую экологическую чистоту и уникальность.</w:t>
      </w:r>
    </w:p>
    <w:p w14:paraId="6702FB8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Проведенное исследование, показавшее фоновый уровень загрязнения и высокую чистоту вод бассейна реки Хазнидон, позволяет оценить высокий рекреационный потенциал данной территории. Уникальные природные ландшафты Кабардино-Балкарского высокогорного заповедника, подкрепленные научно подтвержденной чистотой воды, являются идеальной основой для развития экологического, научного и познавательного туризма. В сочетании с богатым культурно-историческим наследием соседних районов — башенными комплексами, древними некрополями и традиционным укладом жизни горских селений — эта территория представляет собой уникальный российский капитал, нуждающийся в сохранении и устойчивом использовании. </w:t>
      </w:r>
    </w:p>
    <w:p w14:paraId="723EA7A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Таким образом, наш экологический проект не только вносит вклад в науку, но и обосновывает высокую ценность этой земли для будущих поколений как эталона чистой природы и центра рекреации.</w:t>
      </w:r>
    </w:p>
    <w:p w14:paraId="71E4E94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Этот подход превращает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исследовательскую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работу из сугубо научной в междисциплинарную, показывая ее прямую связь с жизнью, культурой и будущим развитием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н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ашего региона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.</w:t>
      </w:r>
    </w:p>
    <w:p w14:paraId="331E1CB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</w:p>
    <w:p w14:paraId="3E38785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jc w:val="both"/>
        <w:textAlignment w:val="auto"/>
        <w:rPr>
          <w:rFonts w:hint="default" w:ascii="Times New Roman" w:hAnsi="Times New Roman" w:eastAsia="SimSu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b/>
          <w:bCs/>
          <w:sz w:val="28"/>
          <w:szCs w:val="28"/>
          <w:lang w:val="en-US"/>
        </w:rPr>
        <w:t>4</w:t>
      </w:r>
      <w:r>
        <w:rPr>
          <w:rFonts w:hint="default" w:ascii="Times New Roman" w:hAnsi="Times New Roman" w:eastAsia="SimSun"/>
          <w:b/>
          <w:bCs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/>
          <w:b/>
          <w:bCs/>
          <w:sz w:val="28"/>
          <w:szCs w:val="28"/>
          <w:lang w:val="en-US"/>
        </w:rPr>
        <w:t>1 Природные достопримечательности, подчеркнутые исследованием</w:t>
      </w:r>
    </w:p>
    <w:p w14:paraId="506C863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>Исследования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напрямую подтверждают ценность природных объектов для рекреации:</w:t>
      </w:r>
    </w:p>
    <w:p w14:paraId="540F5C5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u w:val="single"/>
          <w:lang w:val="en-US"/>
        </w:rPr>
        <w:t>Кристально чистые воды: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Органолептический анализ (отсутствие запаха, привкуса, мути) и низкие концентрации большинства тяжелых металлов доказывают, что вода в реке обладает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высокими эстетическими и оздоровительными свойствами. </w:t>
      </w:r>
    </w:p>
    <w:p w14:paraId="64486CD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>Это ключевой фактор для:</w:t>
      </w:r>
    </w:p>
    <w:p w14:paraId="4BC7A89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>1) Э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котуризма и пешего туризма: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Маршруты вдоль чистой горной реки крайне привлекательны.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Кристально чистая вода, живописные берега и нетронутые ландшафты создают совершенную среду для пеших походов, фотосафари и созерцательного отдыха. Туристы все чаще ищут именно такие, подлинно чистые места.</w:t>
      </w:r>
    </w:p>
    <w:p w14:paraId="43C7582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2)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Рекреационного рыболовства: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Хотя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было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выяв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лено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превышение рыбохозяйственных ПДК по цинку и меди, важно отметить, что это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природный, фоновый уровень. Для рекреационного рыболовства важен сам факт наличия рыбы в чистой воде.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Данное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исследование дает основу для мониторинга и объясняет специфику местной экосистемы.</w:t>
      </w:r>
    </w:p>
    <w:p w14:paraId="33C7CA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3)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Фотографии и эстетического наслаждения: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Бирюзовый цвет воды, характерный для ледниковых рек, не искажен загрязнениями.</w:t>
      </w:r>
    </w:p>
    <w:p w14:paraId="265FEEE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4)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Уникальные биогеохимические провинции: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Тот факт, что повышенное содержание цинка и меди имеет природное происхождение, делает эту территорию уникальной с научной точки зрения. Это основа для развития:</w:t>
      </w:r>
    </w:p>
    <w:p w14:paraId="47BEEBF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>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ab/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а)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Научного туризма и образовательных программ: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Бассейн Хазнидона теперь может служить природной лабораторией под открытым небом для студентов и школьников, изучающих экологию и геохимию.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Школьные и студенческие экспедиции могут изучать на примере Хазнидона, как формируется химический состав вод в условиях нетронутой природы.</w:t>
      </w:r>
    </w:p>
    <w:p w14:paraId="3A5635C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left="708" w:leftChars="0"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б)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Геотуризма: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Интерес для туристов могут представлять сами породы, обогащенные определенными элементами.</w:t>
      </w:r>
    </w:p>
    <w:p w14:paraId="42515D8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left="708" w:leftChars="0"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в)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Заповедный статус: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Кабардино-Балкарский высокогорный заповедник, на территории которого проводилось исследование, сам по себе является мощной рекреационной достопримечательностью.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Данная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работа научно обосновывает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ценность его сохранения.</w:t>
      </w:r>
    </w:p>
    <w:p w14:paraId="09FDE6B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></w:t>
      </w:r>
    </w:p>
    <w:p w14:paraId="31436F0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jc w:val="both"/>
        <w:textAlignment w:val="auto"/>
        <w:rPr>
          <w:rFonts w:hint="default" w:ascii="Times New Roman" w:hAnsi="Times New Roman" w:eastAsia="SimSu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b/>
          <w:bCs/>
          <w:sz w:val="28"/>
          <w:szCs w:val="28"/>
          <w:lang w:val="en-US"/>
        </w:rPr>
        <w:t>4</w:t>
      </w:r>
      <w:r>
        <w:rPr>
          <w:rFonts w:hint="default" w:ascii="Times New Roman" w:hAnsi="Times New Roman" w:eastAsia="SimSun"/>
          <w:b/>
          <w:bCs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/>
          <w:b/>
          <w:bCs/>
          <w:sz w:val="28"/>
          <w:szCs w:val="28"/>
          <w:lang w:val="en-US"/>
        </w:rPr>
        <w:t>2 Культурные и исторические достопримечательности, усиленные чистотой природы</w:t>
      </w:r>
    </w:p>
    <w:p w14:paraId="5F4A3F5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>Чистая природная среда служит идеальным фоном и неотъемлемой частью культурного ландшафта.</w:t>
      </w:r>
    </w:p>
    <w:p w14:paraId="73B086E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></w:t>
      </w:r>
      <w:r>
        <w:rPr>
          <w:rFonts w:hint="default" w:ascii="Times New Roman" w:hAnsi="Times New Roman" w:eastAsia="SimSun"/>
          <w:sz w:val="28"/>
          <w:szCs w:val="28"/>
          <w:u w:val="single"/>
          <w:lang w:val="en-US"/>
        </w:rPr>
        <w:t>Аутентичность горских селений: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Такие населенные пункты, как с.п.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Ташлы-Тала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сохраняют традиционный уклад жизни. Чистая вода рек — это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источник жизни и часть культурного наследия, используемая для водопоя, орошения и в быту.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Данный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исследовательский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проект подчеркивает, что эта традиционная связь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«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человек-природа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»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здесь еще не нарушена.</w:t>
      </w:r>
    </w:p>
    <w:p w14:paraId="6A6DEAA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></w:t>
      </w:r>
      <w:r>
        <w:rPr>
          <w:rFonts w:hint="default" w:ascii="Times New Roman" w:hAnsi="Times New Roman" w:eastAsia="SimSun"/>
          <w:sz w:val="28"/>
          <w:szCs w:val="28"/>
          <w:u w:val="single"/>
          <w:lang w:val="en-US"/>
        </w:rPr>
        <w:t>Исторические памятники и чистая среда:</w:t>
      </w:r>
      <w:r>
        <w:rPr>
          <w:rFonts w:hint="default" w:ascii="Times New Roman" w:hAnsi="Times New Roman" w:eastAsia="SimSun"/>
          <w:sz w:val="28"/>
          <w:szCs w:val="28"/>
          <w:u w:val="none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Рядом с реками часто располагаются старинные башни, склепы, следы древних поселений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Экологическая чистота окружающего ландшафта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повышает их восприятие и ценность, создавая ощущение путешествия во времени в нетронутой среде.</w:t>
      </w:r>
    </w:p>
    <w:p w14:paraId="61D35B0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SimSun"/>
          <w:sz w:val="28"/>
          <w:szCs w:val="28"/>
          <w:lang w:val="en-US"/>
        </w:rPr>
        <w:t></w:t>
      </w:r>
      <w:r>
        <w:rPr>
          <w:rFonts w:hint="default" w:ascii="Times New Roman" w:hAnsi="Times New Roman" w:eastAsia="SimSun"/>
          <w:sz w:val="28"/>
          <w:szCs w:val="28"/>
          <w:u w:val="single"/>
          <w:lang w:val="en-US"/>
        </w:rPr>
        <w:t>Развитие устойчивого туризма: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Сочетание 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полученных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научных данных (чистота) и культурн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ых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достопримечательност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>ей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 xml:space="preserve"> позволяет продвигать территорию как</w:t>
      </w: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sz w:val="28"/>
          <w:szCs w:val="28"/>
          <w:lang w:val="en-US"/>
        </w:rPr>
        <w:t>зону ответственного, устойчивого туризма. Туристы все чаще стремятся в места с сохранившейся природой и аутентичной культурой.</w:t>
      </w:r>
    </w:p>
    <w:p w14:paraId="5F28594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4"/>
          <w:szCs w:val="24"/>
          <w:lang w:val="en-US"/>
        </w:rPr>
      </w:pPr>
    </w:p>
    <w:p w14:paraId="57AA7C41">
      <w:pPr>
        <w:rPr>
          <w:rFonts w:hint="default" w:ascii="Times New Roman" w:hAnsi="Times New Roman" w:eastAsia="SimSu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en-US"/>
        </w:rPr>
        <w:br w:type="page"/>
      </w:r>
    </w:p>
    <w:p w14:paraId="522A140F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4"/>
          <w:szCs w:val="24"/>
          <w:shd w:val="clear" w:fill="FFFFFF"/>
          <w:lang w:val="ru-RU"/>
        </w:rPr>
        <w:t>ВЫВОДЫ</w:t>
      </w:r>
    </w:p>
    <w:p w14:paraId="57CB6D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Органолептические показатели всех отобранных проб соответствовали нормативам для питьевой воды: запах и привкус отсутствовали, цветность составила 1 градус, прозрачность — 30 см. Величина pH находилась в слабощелочном диапазоне (7.15–7.56), что характерно для карбонатных пород региона.</w:t>
      </w:r>
    </w:p>
    <w:p w14:paraId="3DEDC4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Результаты спектрального анализа показали, что концентрации большинства определяемых элементов (Ag, Cd, Pb, As, Al, Cr, Mn, Ni) были существенно ниже их кларковых значений для речных вод и не превышали установленных ПДК. В то же время, во всех пробах было зафиксировано устойчивое превышение рыбохозяйственных ПДК по цинку, а в трех пробах из пяти — по меди. Сравнение с данными по другим рекам Кабардино-Балкарии (Черек-Безенгийский, Баксан, Чегем) [8–10, 1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>–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18</w:t>
      </w:r>
      <w:r>
        <w:rPr>
          <w:rFonts w:hint="default" w:ascii="Times New Roman" w:hAnsi="Times New Roman" w:cs="Times New Roman"/>
          <w:sz w:val="28"/>
          <w:szCs w:val="28"/>
        </w:rPr>
        <w:t>] показало, что общий уровень содержания потенциально токсичных элементов в бассейне Хазнидона является самым низким.</w:t>
      </w:r>
    </w:p>
    <w:p w14:paraId="45D0BB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Выявленные превышения по Cu и Zn носят природный, фоновый характер и связаны с геохимическими особенностями пород, слагающих водосборную территорию. Это согласуется с исследованиями, указывающими на естественную обогащенность цинком вод некоторых ледниковых рек Центрального Кавказа [9].</w:t>
      </w:r>
    </w:p>
    <w:p w14:paraId="20654B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Впервые получены репрезентативные фоновые данные по содержанию тяжелых металлов в водах реки Хазнидон, характеризующие экологическое состояние объекта в условиях минимального антропогенного воздействия.</w:t>
      </w:r>
    </w:p>
    <w:p w14:paraId="5446DB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Установлено, что воды бассейна р. Хазнидон отличаются высоким качеством и минимальным уровнем загрязнения по большинству контролируемых микроэлементов по сравнению с другими водотоками региона.</w:t>
      </w:r>
    </w:p>
    <w:p w14:paraId="541599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Выявленные природные превышения ПДК по меди и цинку для рыбохозяйственных водоемов являются геохимической особенностью территории и должны учитываться при оценке экологического состояния и рекреационного потенциала.</w:t>
      </w:r>
    </w:p>
    <w:p w14:paraId="6FC64A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Полученные результаты обосновывают высокий рекреационный и природоохранный потенциал территории Кабардино-Балкарского высокогорного заповедника и служат научной базой для разработки программ экологического мониторинга.</w:t>
      </w:r>
    </w:p>
    <w:p w14:paraId="30EC21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Рекомендовано включить створы на р. Хазнидон в региональную систему мониторинга поверхностных вод для долгосрочного отслеживания изменений химического состава и своевременного выявления возможных антропогенных воздействий.</w:t>
      </w:r>
    </w:p>
    <w:p w14:paraId="30E925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Работа выполнена на базах: ГБУ ДО «Эколого-биологический центр» КБР, Кабардино-Балкарского высокогорного заповедника и Центра географических исследований КБНЦ РАН.</w:t>
      </w:r>
    </w:p>
    <w:p w14:paraId="3A70A07F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 w:right="0" w:rightChars="0" w:firstLine="708" w:firstLineChars="0"/>
        <w:jc w:val="left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ru-RU"/>
        </w:rPr>
        <w:t></w:t>
      </w:r>
    </w:p>
    <w:p w14:paraId="0F9E3C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Автор выражает </w:t>
      </w: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</w:rPr>
        <w:t xml:space="preserve"> глубокую благодарнность научным консультаннтам: </w:t>
      </w:r>
    </w:p>
    <w:p w14:paraId="4D9B3D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- </w:t>
      </w: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</w:rPr>
        <w:t>Реутовой Нине Васильевне – д.б.н., в.н.с.</w:t>
      </w: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Центра географических исследований КБНЦ РАН</w:t>
      </w: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</w:rPr>
        <w:t xml:space="preserve">; </w:t>
      </w:r>
    </w:p>
    <w:p w14:paraId="51FD12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- </w:t>
      </w:r>
      <w:r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8"/>
          <w:szCs w:val="28"/>
          <w:shd w:val="clear" w:fill="FFFFFF"/>
        </w:rPr>
        <w:t>Реутовой Татьяне Васильевне – с.н.с. Центра географических исследований КБНЦ РАН.</w:t>
      </w:r>
    </w:p>
    <w:p w14:paraId="79965E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Segoe UI"/>
          <w:b w:val="0"/>
          <w:b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5EFEB53">
      <w:pPr>
        <w:rPr>
          <w:rFonts w:hint="default"/>
        </w:rPr>
      </w:pPr>
      <w:r>
        <w:rPr>
          <w:rFonts w:hint="default"/>
        </w:rPr>
        <w:br w:type="page"/>
      </w:r>
    </w:p>
    <w:p w14:paraId="79991A2F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ind w:left="0" w:right="0" w:firstLine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egoe UI" w:cs="Times New Roman"/>
          <w:b/>
          <w:bCs/>
          <w:caps w:val="0"/>
          <w:color w:val="auto"/>
          <w:spacing w:val="0"/>
          <w:sz w:val="28"/>
          <w:szCs w:val="28"/>
          <w:shd w:val="clear" w:fill="FFFFFF"/>
        </w:rPr>
        <w:t>Библиографический список</w:t>
      </w:r>
    </w:p>
    <w:p w14:paraId="302C1394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Территории - Кабардино-Балкарский высокогорный государственный природный заповедник. URL: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"https://zapovednik-kbr.ru/territory/?ysclid=mkemy11szx701889694"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6"/>
          <w:rFonts w:hint="default" w:ascii="Times New Roman" w:hAnsi="Times New Roman" w:cs="Times New Roman"/>
          <w:sz w:val="28"/>
          <w:szCs w:val="28"/>
        </w:rPr>
        <w:t>https://zapovednik-kbr.ru/territory/?ysclid=mkemy11szx701889694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7E72809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БИОГЕОХИМИЧЕСКАЯ ПРОВИНЦИЯ • Большая российская энциклопедия - электронная версия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URL: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"https://old.bigenc.ru/geology/text/1866641?ysclid=mken0bbyus586433345"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6"/>
          <w:rFonts w:hint="default" w:ascii="Times New Roman" w:hAnsi="Times New Roman" w:cs="Times New Roman"/>
          <w:sz w:val="28"/>
          <w:szCs w:val="28"/>
        </w:rPr>
        <w:t>https://old.bigenc.ru/geology/text/1866641?ysclid=mken0bbyus586433345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</w:p>
    <w:p w14:paraId="5A88368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Газаев М.А., Атабиева Ф.А., Жинжакова Л.З., Газаев М.М. Пространственно-временная изменчивость показателей качества воды высокогорной реки Черек Безенгийский // Водное хозяйство России: проблемы, технологии, управление. </w:t>
      </w:r>
    </w:p>
    <w:p w14:paraId="3099B3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2014.№ 1. С. 23-32. </w:t>
      </w:r>
    </w:p>
    <w:p w14:paraId="4F98EC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4. Газаев Х.М.М., Атабиева Ф.А., Кучменова И.И., Жинжакова Л.З. Статистическая обработка многолетних данных по химическому составу воды реки Черек Безенгийскии // Водное хозяйство России: проблемы, технологии, управление. № 2. С. 42-52. </w:t>
      </w:r>
    </w:p>
    <w:p w14:paraId="332436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5. Газаев Х.М., Жинжакова Л.З., Иттиев А.Б. Многолетняя динамика химического состава вод реки Черек Безенгийский (левый исток р. Черек) // Известия Кабардино-Балкарского государственного аграрного университета им. В.М. Кокова. № 2 (8). С. 122-126 </w:t>
      </w:r>
    </w:p>
    <w:p w14:paraId="792900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6. Атабиева Ф.А., Газаев Х.М., Жинжакова Л.З., Газаев М.М. Многолетняя динамика химического состава вод реки Черек Безенгийский (левый исток р. Черек) / В сборнике: Устойчивое развитие: проблемы, концепции, модели. Материалы Всероссийской конференции с международным участием, посвященной 75-летию председателя ФГБНУ «Федеральный научный центр «Кабардино-Балкарский научный центр Российской академии наук», доктора технических наук, профессора П.М. Иванова. 2017. С. 110-112.</w:t>
      </w:r>
    </w:p>
    <w:p w14:paraId="3E9EC6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7. Газаев Х.М.М., Атабиева Ф.А., Кучменова И.И., Жинжакова Л.З. Особенности формирования химического состава воды ледниковой реки Черек Безенгийский // Вода: химия и экология. 2016. № 3 (93). С. 73-77.</w:t>
      </w:r>
    </w:p>
    <w:p w14:paraId="2E7149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8. Газаев М.А., Жинжакова Л.З., Агоева Э.А., Газаев М.М. Исследование содержания микроэлементов в водах летнего паводка реки Черек Безенгийский // Известия Кабардино-Балкарского научного центра РАН № 4 (54) 2013 С. 82-86. </w:t>
      </w:r>
    </w:p>
    <w:p w14:paraId="3F603F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9. Газаев Х.М., Жинжакова Л.З., Атабиева Ф.А. Исследование содержания микроэлементов Zn, Mn, Cu в водах горных рек с ледниковым питанием / В сборнике: Устойчивое развитие: проблемы, концепции, модели. Материалы Всероссийской конференции с международным участием, посвященной 75-летию председателя ФГБНУ «Федеральный научный центр «Кабардино-Балкарский научный центр Российской академии наук», доктора технических наук, профессора П.М. Иванова. 2017. С. 127-129.</w:t>
      </w:r>
    </w:p>
    <w:p w14:paraId="4A9B57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10. Жинжакова Л.З., Газаев Х.М.М., Атабиева Ф.А. Пространственное распределение концентраций токсичных металлов Ni, Cr, Cd и Pb в водах верхнего течения рек Черек и Чегем / В сборнике: Устойчивое развитие: проблемы, концепции, модели. Материалы Всероссийской конференции с международным участием, посвященной 75-летию председателя ФГБНУ «Федеральный научный центр «Кабардино-Балкарский научный центр Российской академии наук», доктора технических наук, профессора П.М. Иванова. 2017. С. 149-152.</w:t>
      </w:r>
    </w:p>
    <w:p w14:paraId="14A87D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11. Нормативы качества воды водных объектов рыбохозяйственного значения, в том числе нормативы предельно допустимых концентраций вредных веществ в водах водных объектов рыбохозяйственного значения. Приложение к приказу Минсельхоза России от 13 декабря 2016 года N 552 (с изменениями на 10 марта 2020 года).</w:t>
      </w:r>
    </w:p>
    <w:p w14:paraId="72379118">
      <w:pP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12. НАЦИОНАЛЬНЫЙ СТАНДАРТ РОССИЙСКОЙ ФЕДЕРАЦИИ ВОДА Общие требования к отбору проб URL: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"https://ekb.gor-lab.ru/wp-content/uploads/2025/03/GOST-R-59024-2020.pdf?ysclid=mken2wj93z417013115"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6"/>
          <w:rFonts w:hint="default" w:ascii="Times New Roman" w:hAnsi="Times New Roman" w:cs="Times New Roman"/>
          <w:sz w:val="28"/>
          <w:szCs w:val="28"/>
        </w:rPr>
        <w:t>https://ekb.gor-lab.ru/wp-content/uploads/2025/03/GOST-R-59024-2020.pdf?ysclid=mken2wj93z417013115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7B2FF6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13. URL: 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fldChar w:fldCharType="begin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instrText xml:space="preserve"> HYPERLINK "https://files.stroyinf.ru/Data2/1/4293751/4293751162.pdf?ysclid=mkem0pla34781934295" </w:instrTex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fldChar w:fldCharType="separate"/>
      </w:r>
      <w:r>
        <w:rPr>
          <w:rStyle w:val="6"/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t>ГОСТ Р 57162-2016 Вода. Определение содержания элементов методом атомно-абсорбционной спектрометрии с электротермической атомизацией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fldChar w:fldCharType="end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t xml:space="preserve">URL: </w:t>
      </w: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instrText xml:space="preserve"> HYPERLINK "https://ohranatruda.ru/upload/iblock/128/4293751162.pdf?ysclid=mken7i2xnv418393841" </w:instrText>
      </w: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fldChar w:fldCharType="separate"/>
      </w:r>
      <w:r>
        <w:rPr>
          <w:rStyle w:val="6"/>
          <w:rFonts w:hint="default" w:ascii="Times New Roman" w:hAnsi="Times New Roman" w:eastAsia="SimSun"/>
          <w:sz w:val="28"/>
          <w:szCs w:val="28"/>
          <w:lang w:val="ru-RU"/>
        </w:rPr>
        <w:t>https://ohranatruda.ru/upload/iblock/128/4293751162.pdf?ysclid=mken7i2xnv418393841</w:t>
      </w: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fldChar w:fldCharType="end"/>
      </w:r>
    </w:p>
    <w:p w14:paraId="1505E7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  <w:t xml:space="preserve">14. </w:t>
      </w: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t xml:space="preserve">ВОДА ПИТЬЕВАЯ Определение содержания элементов </w:t>
      </w:r>
    </w:p>
    <w:p w14:paraId="449BCE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 w:eastAsia="SimSu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t xml:space="preserve">методами атомной спектрометрии URL: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"https://ohranatruda.ru/upload/iblock/c5f/4294849138.pdf?ysclid=mkencdmnxl858052961"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6"/>
          <w:rFonts w:hint="default" w:ascii="Times New Roman" w:hAnsi="Times New Roman" w:cs="Times New Roman"/>
          <w:sz w:val="28"/>
          <w:szCs w:val="28"/>
        </w:rPr>
        <w:t>https://ohranatruda.ru/upload/iblock/c5f/4294849138.pdf?ysclid=mkencdmnxl858052961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color w:val="auto"/>
          <w:sz w:val="24"/>
          <w:szCs w:val="24"/>
          <w:lang w:val="ru-RU"/>
        </w:rPr>
        <w:t xml:space="preserve"> </w:t>
      </w:r>
    </w:p>
    <w:p w14:paraId="3EE17876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URL: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</w:rPr>
        <w:instrText xml:space="preserve"> HYPERLINK "https://ohranatruda.ru/upload/iblock/93a/4294848348.pdf?ysclid=mkem8iks9y141334424" </w:instrTex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</w:rPr>
        <w:fldChar w:fldCharType="separate"/>
      </w:r>
      <w:r>
        <w:rPr>
          <w:rStyle w:val="6"/>
          <w:rFonts w:hint="default" w:ascii="Times New Roman" w:hAnsi="Times New Roman" w:eastAsia="SimSun" w:cs="Times New Roman"/>
          <w:color w:val="auto"/>
          <w:sz w:val="28"/>
          <w:szCs w:val="28"/>
        </w:rPr>
        <w:t>ГОСТ 2874-82 Вода питьевая. Гигиенические требования и контроль за качеством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</w:rPr>
        <w:fldChar w:fldCharType="end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color w:val="auto"/>
          <w:sz w:val="28"/>
          <w:szCs w:val="28"/>
          <w:lang w:val="ru-RU"/>
        </w:rPr>
        <w:t xml:space="preserve">URL: </w:t>
      </w:r>
      <w:r>
        <w:rPr>
          <w:rStyle w:val="6"/>
          <w:rFonts w:hint="default"/>
          <w:sz w:val="28"/>
          <w:szCs w:val="28"/>
        </w:rPr>
        <w:t>https://ohranatruda.ru/upload/iblock/93a/4294848348.pdf?ysclid=mkeneekobr430232</w:t>
      </w:r>
      <w:r>
        <w:rPr>
          <w:rFonts w:hint="default"/>
          <w:color w:val="auto"/>
        </w:rPr>
        <w:fldChar w:fldCharType="begin"/>
      </w:r>
      <w:r>
        <w:rPr>
          <w:rFonts w:hint="default"/>
          <w:color w:val="auto"/>
        </w:rPr>
        <w:instrText xml:space="preserve"> HYPERLINK "https://ohranatruda.ru/upload/iblock/93a/4294848348.pdf?ysclid=mkeneekobr4302329" </w:instrText>
      </w:r>
      <w:r>
        <w:rPr>
          <w:rFonts w:hint="default"/>
          <w:color w:val="auto"/>
        </w:rPr>
        <w:fldChar w:fldCharType="separate"/>
      </w:r>
      <w:r>
        <w:rPr>
          <w:rStyle w:val="6"/>
          <w:rFonts w:hint="default"/>
        </w:rPr>
        <w:t>9</w:t>
      </w:r>
      <w:r>
        <w:rPr>
          <w:rFonts w:hint="default"/>
          <w:color w:val="auto"/>
        </w:rPr>
        <w:fldChar w:fldCharType="end"/>
      </w:r>
    </w:p>
    <w:p w14:paraId="313FA78D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Реутова Н.В., Реутова Т.В., Дреева Ф.Р., Керимов А.А., Хутуев А.М. Химический состав родниковых вод высокогорной и среднегорной зоны КБР // Известия Кабардино-Балкарского научного центра РАН. 2017. № 2 (76). С. 83-89. </w:t>
      </w:r>
    </w:p>
    <w:p w14:paraId="0716092B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Reutova N.V., Reutova T.V., Dreeva F.R., Khutuev A.M., Kerimov A.A. Features of aluminum concentrations in rivers of the mountain zone of the Central Caucasus // Russian Journal of General Chemistry. 2018. Vol. 88. No.13. Рр. 2884-2892. DOI:10.1134/S1070363218130091</w:t>
      </w:r>
    </w:p>
    <w:p w14:paraId="04B89AC8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color w:val="auto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Реутова Н.В., Реутова Т.В., Дреева Ф.Р., Хутуев А.М. Микроэлементы в поверхностных водах бассейна реки Чегем // Известия Кабардино-Балкарского научного центра РАН. 2019. № 5 (91). С. 57-63. DOI: 10.35330/1991-6639-2019-5-91-57- 63</w:t>
      </w:r>
    </w:p>
    <w:p w14:paraId="413F7786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5DF2BC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 w14:paraId="58F6284C">
      <w:pPr>
        <w:spacing w:after="0" w:line="240" w:lineRule="auto"/>
        <w:jc w:val="right"/>
        <w:rPr>
          <w:rFonts w:ascii="Times New Roman" w:hAnsi="Times New Roman" w:eastAsia="Calibri" w:cs="Times New Roman"/>
          <w:sz w:val="24"/>
          <w:szCs w:val="24"/>
          <w:lang w:val="ru-RU"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val="ru-RU" w:eastAsia="en-US"/>
        </w:rPr>
        <w:t>ПРИЛОЖЕНИЕ 1</w:t>
      </w:r>
    </w:p>
    <w:p w14:paraId="5892F0F0">
      <w:pPr>
        <w:spacing w:after="0" w:line="240" w:lineRule="auto"/>
        <w:jc w:val="center"/>
        <w:rPr>
          <w:rFonts w:hint="default" w:ascii="Times New Roman" w:hAnsi="Times New Roman" w:eastAsia="Calibri" w:cs="Times New Roman"/>
          <w:b/>
          <w:sz w:val="24"/>
          <w:szCs w:val="24"/>
          <w:lang w:val="ru-RU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ru-RU" w:eastAsia="en-US"/>
        </w:rPr>
        <w:t>Отбор проб №№1-</w:t>
      </w:r>
      <w:r>
        <w:rPr>
          <w:rFonts w:hint="default" w:ascii="Times New Roman" w:hAnsi="Times New Roman" w:eastAsia="Calibri" w:cs="Times New Roman"/>
          <w:b/>
          <w:sz w:val="24"/>
          <w:szCs w:val="24"/>
          <w:lang w:val="ru-RU" w:eastAsia="en-US"/>
        </w:rPr>
        <w:t>5</w:t>
      </w:r>
      <w:r>
        <w:rPr>
          <w:rFonts w:ascii="Times New Roman" w:hAnsi="Times New Roman" w:eastAsia="Calibri" w:cs="Times New Roman"/>
          <w:b/>
          <w:sz w:val="24"/>
          <w:szCs w:val="24"/>
          <w:lang w:val="ru-RU" w:eastAsia="en-US"/>
        </w:rPr>
        <w:t xml:space="preserve"> в ущелье</w:t>
      </w:r>
      <w:r>
        <w:rPr>
          <w:rFonts w:hint="default" w:ascii="Times New Roman" w:hAnsi="Times New Roman" w:eastAsia="Calibri" w:cs="Times New Roman"/>
          <w:b/>
          <w:sz w:val="24"/>
          <w:szCs w:val="24"/>
          <w:lang w:val="ru-RU" w:eastAsia="en-US"/>
        </w:rPr>
        <w:t xml:space="preserve"> Хазнидон</w:t>
      </w:r>
    </w:p>
    <w:p w14:paraId="45EDCF12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ru-RU" w:eastAsia="en-US"/>
        </w:rPr>
      </w:pPr>
    </w:p>
    <w:p w14:paraId="77BDCB2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ru-RU" w:eastAsia="en-US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5012690" cy="2372995"/>
            <wp:effectExtent l="0" t="0" r="1270" b="44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DEE2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ru-RU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ru-RU" w:eastAsia="ru-RU"/>
        </w:rPr>
        <w:drawing>
          <wp:inline distT="0" distB="0" distL="114300" distR="114300">
            <wp:extent cx="5074920" cy="2362835"/>
            <wp:effectExtent l="0" t="0" r="0" b="1460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CBB3">
      <w:pPr>
        <w:spacing w:after="0" w:line="240" w:lineRule="auto"/>
        <w:jc w:val="center"/>
        <w:rPr>
          <w:rFonts w:hint="default" w:ascii="Times New Roman" w:hAnsi="Times New Roman" w:eastAsia="Calibri" w:cs="Times New Roman"/>
          <w:b/>
          <w:sz w:val="24"/>
          <w:szCs w:val="24"/>
          <w:lang w:val="ru-RU" w:eastAsia="en-US"/>
        </w:rPr>
      </w:pPr>
      <w:r>
        <w:rPr>
          <w:rFonts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Рис</w:t>
      </w: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 xml:space="preserve">.1 </w:t>
      </w:r>
      <w:r>
        <w:rPr>
          <w:rFonts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Отбор проб №№1-</w:t>
      </w: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3</w:t>
      </w:r>
      <w:r>
        <w:rPr>
          <w:rFonts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 xml:space="preserve"> в месте слияния рек</w:t>
      </w:r>
    </w:p>
    <w:p w14:paraId="35C1F80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ru-RU" w:eastAsia="en-US"/>
        </w:rPr>
      </w:pPr>
    </w:p>
    <w:p w14:paraId="203DA64D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ru-RU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ru-RU" w:eastAsia="ru-RU"/>
        </w:rPr>
        <w:drawing>
          <wp:inline distT="0" distB="0" distL="114300" distR="114300">
            <wp:extent cx="4981575" cy="2457450"/>
            <wp:effectExtent l="0" t="0" r="1905" b="1143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7B58">
      <w:pPr>
        <w:spacing w:after="0" w:line="240" w:lineRule="auto"/>
        <w:jc w:val="center"/>
        <w:rPr>
          <w:rFonts w:hint="default" w:ascii="Times New Roman" w:hAnsi="Times New Roman" w:eastAsia="Calibri" w:cs="Times New Roman"/>
          <w:b/>
          <w:sz w:val="24"/>
          <w:szCs w:val="24"/>
          <w:lang w:val="ru-RU" w:eastAsia="en-US"/>
        </w:rPr>
      </w:pPr>
      <w:r>
        <w:rPr>
          <w:rFonts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Рис</w:t>
      </w: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.2 Отбор пробы № 5 в верховье реки</w:t>
      </w:r>
    </w:p>
    <w:p w14:paraId="6C6FE9C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 w14:paraId="1A86B8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ПРИЛОЖЕНИЕ 1</w:t>
      </w:r>
    </w:p>
    <w:p w14:paraId="29A2C8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Центр географических исследований Кабардино-Балкарского Центра РАН</w:t>
      </w:r>
    </w:p>
    <w:p w14:paraId="5F4B29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b/>
          <w:bCs/>
          <w:sz w:val="24"/>
          <w:szCs w:val="24"/>
        </w:rPr>
      </w:pPr>
    </w:p>
    <w:p w14:paraId="39A145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6117590" cy="3233420"/>
            <wp:effectExtent l="0" t="0" r="8890" b="12700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54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/>
        </w:rPr>
      </w:pPr>
      <w:r>
        <w:rPr>
          <w:rFonts w:hint="default" w:ascii="Times New Roman" w:hAnsi="Times New Roman"/>
        </w:rPr>
        <w:t>Процедура отбора проб строго регламентирована ГОСТами:</w:t>
      </w:r>
    </w:p>
    <w:p w14:paraId="72AC9935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</w:rPr>
      </w:pPr>
      <w:r>
        <w:rPr>
          <w:rFonts w:hint="default" w:ascii="Times New Roman" w:hAnsi="Times New Roman"/>
        </w:rPr>
        <w:t>фильтрация,</w:t>
      </w:r>
    </w:p>
    <w:p w14:paraId="70A7036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</w:rPr>
      </w:pPr>
      <w:r>
        <w:rPr>
          <w:rFonts w:hint="default" w:ascii="Times New Roman" w:hAnsi="Times New Roman"/>
        </w:rPr>
        <w:t xml:space="preserve">консервация азотной кислотой, </w:t>
      </w:r>
    </w:p>
    <w:p w14:paraId="5D5A661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 w:ascii="Times New Roman" w:hAnsi="Times New Roman"/>
        </w:rPr>
      </w:pPr>
      <w:r>
        <w:rPr>
          <w:rFonts w:hint="default" w:ascii="Times New Roman" w:hAnsi="Times New Roman"/>
        </w:rPr>
        <w:t xml:space="preserve">условия хранения и транспортировки </w:t>
      </w:r>
    </w:p>
    <w:p w14:paraId="36193A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9680" cy="2279650"/>
            <wp:effectExtent l="0" t="0" r="0" b="6350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A2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</w:rPr>
      </w:pPr>
      <w:r>
        <w:rPr>
          <w:rFonts w:hint="default" w:ascii="Times New Roman" w:hAnsi="Times New Roman"/>
          <w:lang w:val="ru-RU"/>
        </w:rPr>
        <w:t>А</w:t>
      </w:r>
      <w:r>
        <w:rPr>
          <w:rFonts w:hint="default" w:ascii="Times New Roman" w:hAnsi="Times New Roman"/>
        </w:rPr>
        <w:t>томно-абсорбционная спектрофотометрия с электротермической атомизацией по аттестованной методике на приборе МГА 915.</w:t>
      </w:r>
    </w:p>
    <w:p w14:paraId="2CE2F7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1134" w:right="1134" w:bottom="1134" w:left="113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3F598D">
    <w:pPr>
      <w:pStyle w:val="9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Текстовое 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632644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NJWO7QAAAABQEAAA8AAAAAAAAAAQAgAAAAIgAAAGRycy9k&#10;b3ducmV2LnhtbFBLAQIUABQAAAAIAIdO4kDQZ7+NQwIAAHMEAAAOAAAAAAAAAAEAIAAAAB8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632644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97D8F5"/>
    <w:multiLevelType w:val="singleLevel"/>
    <w:tmpl w:val="8F97D8F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E2E250D7"/>
    <w:multiLevelType w:val="singleLevel"/>
    <w:tmpl w:val="E2E250D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60DE6AFF"/>
    <w:multiLevelType w:val="singleLevel"/>
    <w:tmpl w:val="60DE6AFF"/>
    <w:lvl w:ilvl="0" w:tentative="0">
      <w:start w:val="15"/>
      <w:numFmt w:val="decimal"/>
      <w:suff w:val="space"/>
      <w:lvlText w:val="%1."/>
      <w:lvlJc w:val="left"/>
      <w:rPr>
        <w:rFonts w:hint="default" w:ascii="Times New Roman" w:hAnsi="Times New Roman" w:cs="Times New Roman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97CB8"/>
    <w:rsid w:val="02B93A83"/>
    <w:rsid w:val="02FA5B72"/>
    <w:rsid w:val="082C3E75"/>
    <w:rsid w:val="09F27F5D"/>
    <w:rsid w:val="0ABF7A10"/>
    <w:rsid w:val="0E523E52"/>
    <w:rsid w:val="122A435A"/>
    <w:rsid w:val="12A23980"/>
    <w:rsid w:val="16E23B78"/>
    <w:rsid w:val="178847A7"/>
    <w:rsid w:val="1D214BEF"/>
    <w:rsid w:val="1FF14372"/>
    <w:rsid w:val="22F233EB"/>
    <w:rsid w:val="246F176A"/>
    <w:rsid w:val="25401FF2"/>
    <w:rsid w:val="2A834AE2"/>
    <w:rsid w:val="2B5E739B"/>
    <w:rsid w:val="2E0F49FC"/>
    <w:rsid w:val="2F055134"/>
    <w:rsid w:val="2F0A3A79"/>
    <w:rsid w:val="32672F3B"/>
    <w:rsid w:val="3C2D5464"/>
    <w:rsid w:val="3EF56718"/>
    <w:rsid w:val="426D1D88"/>
    <w:rsid w:val="43C967C1"/>
    <w:rsid w:val="47544B14"/>
    <w:rsid w:val="475649B2"/>
    <w:rsid w:val="478065DC"/>
    <w:rsid w:val="4BF12306"/>
    <w:rsid w:val="506F3928"/>
    <w:rsid w:val="511D5E24"/>
    <w:rsid w:val="519E7677"/>
    <w:rsid w:val="52357EFC"/>
    <w:rsid w:val="52AD446F"/>
    <w:rsid w:val="5BDE53DA"/>
    <w:rsid w:val="5CAC362D"/>
    <w:rsid w:val="630E1F93"/>
    <w:rsid w:val="684D2E2F"/>
    <w:rsid w:val="6AF15601"/>
    <w:rsid w:val="6F0A44BC"/>
    <w:rsid w:val="70A17A56"/>
    <w:rsid w:val="70AA179B"/>
    <w:rsid w:val="70C055F7"/>
    <w:rsid w:val="71270FB3"/>
    <w:rsid w:val="75005A8A"/>
    <w:rsid w:val="75716231"/>
    <w:rsid w:val="79455C41"/>
    <w:rsid w:val="7983325D"/>
    <w:rsid w:val="79967A89"/>
    <w:rsid w:val="7B9D1C7C"/>
    <w:rsid w:val="7C936CFA"/>
    <w:rsid w:val="7F72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Hyperlink"/>
    <w:basedOn w:val="3"/>
    <w:qFormat/>
    <w:uiPriority w:val="0"/>
    <w:rPr>
      <w:color w:val="0000FF"/>
      <w:u w:val="single"/>
    </w:rPr>
  </w:style>
  <w:style w:type="character" w:styleId="7">
    <w:name w:val="Strong"/>
    <w:basedOn w:val="3"/>
    <w:qFormat/>
    <w:uiPriority w:val="0"/>
    <w:rPr>
      <w:b/>
      <w:bCs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0">
    <w:name w:val="Normal (Web)"/>
    <w:basedOn w:val="1"/>
    <w:qFormat/>
    <w:uiPriority w:val="0"/>
    <w:rPr>
      <w:sz w:val="24"/>
      <w:szCs w:val="24"/>
    </w:rPr>
  </w:style>
  <w:style w:type="table" w:styleId="11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Normal"/>
    <w:qFormat/>
    <w:uiPriority w:val="0"/>
    <w:pPr>
      <w:suppressAutoHyphens/>
    </w:pPr>
    <w:rPr>
      <w:rFonts w:ascii="Times New Roman" w:hAnsi="Times New Roman" w:eastAsia="Times New Roman" w:cs="Times New Roman"/>
      <w:sz w:val="24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2025-11-19T19:56:00Z</dcterms:created>
  <dc:creator>User</dc:creator>
  <cp:lastModifiedBy>Танзика Кулиева</cp:lastModifiedBy>
  <dcterms:modified xsi:type="dcterms:W3CDTF">2026-01-15T20:16:53Z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2C9800C7EC564070B7838C17E221DB2D_13</vt:lpwstr>
  </property>
</Properties>
</file>