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Default Extension="svg" ContentType="image/svg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/>
        <w:jc w:val="center"/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Региональный этап</w:t>
      </w:r>
      <w:r>
        <w:rPr>
          <w:sz w:val="32"/>
          <w:szCs w:val="32"/>
        </w:rPr>
      </w:r>
    </w:p>
    <w:p>
      <w:pPr>
        <w:pBdr/>
        <w:spacing w:after="0"/>
        <w:ind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Всероссийского конкурса юных исследователей </w:t>
      </w:r>
      <w:r>
        <w:rPr>
          <w:rFonts w:ascii="Times New Roman" w:hAnsi="Times New Roman"/>
          <w:sz w:val="32"/>
          <w:szCs w:val="32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окружающей среды имени Б.В. Всесвятского</w:t>
      </w:r>
      <w:r>
        <w:rPr>
          <w:rFonts w:ascii="Times New Roman" w:hAnsi="Times New Roman" w:cs="Times New Roman"/>
          <w:sz w:val="32"/>
          <w:szCs w:val="32"/>
        </w:rPr>
      </w:r>
    </w:p>
    <w:p>
      <w:pPr>
        <w:pBdr/>
        <w:spacing w:after="0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Секция «Экологический мониторинг»</w:t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pStyle w:val="94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afterAutospacing="0" w:before="0" w:beforeAutospacing="0"/>
        <w:ind w:right="836" w:left="425"/>
        <w:jc w:val="center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Bdr/>
        <w:spacing/>
        <w:ind w:right="836" w:left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widowControl w:val="false"/>
        <w:pBdr/>
        <w:spacing/>
        <w:ind w:right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widowControl w:val="false"/>
        <w:pBdr/>
        <w:spacing/>
        <w:ind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«Грязь городских улиц и её структура»</w:t>
      </w:r>
      <w:r>
        <w:rPr>
          <w:rFonts w:ascii="Times New Roman" w:hAnsi="Times New Roman" w:cs="Times New Roman"/>
          <w:sz w:val="40"/>
          <w:szCs w:val="40"/>
        </w:rPr>
      </w:r>
    </w:p>
    <w:p>
      <w:pPr>
        <w:pBdr/>
        <w:spacing w:after="0" w:line="360" w:lineRule="auto"/>
        <w:ind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40" w:lineRule="auto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 xml:space="preserve">работы: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40" w:lineRule="auto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Волкова Александра </w:t>
      </w:r>
      <w:r>
        <w:rPr>
          <w:rFonts w:ascii="Times New Roman" w:hAnsi="Times New Roman" w:cs="Times New Roman"/>
          <w:sz w:val="28"/>
          <w:szCs w:val="28"/>
        </w:rPr>
        <w:t xml:space="preserve">Станиславовна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40" w:lineRule="auto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0 класс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40" w:lineRule="auto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«Лицей № 3 им. А. С Пушкина»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40" w:lineRule="auto"/>
        <w:ind/>
        <w:jc w:val="right"/>
        <w:rPr/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/>
    </w:p>
    <w:p>
      <w:pPr>
        <w:pBdr/>
        <w:spacing w:line="240" w:lineRule="auto"/>
        <w:ind/>
        <w:jc w:val="right"/>
        <w:rPr/>
      </w:pPr>
      <w:r>
        <w:rPr>
          <w:rFonts w:ascii="Times New Roman" w:hAnsi="Times New Roman" w:cs="Times New Roman"/>
          <w:sz w:val="28"/>
          <w:szCs w:val="28"/>
        </w:rPr>
        <w:t xml:space="preserve">Лифатова Людмила Николаевна,</w:t>
      </w:r>
      <w:r/>
    </w:p>
    <w:p>
      <w:pPr>
        <w:pBdr/>
        <w:spacing w:line="240" w:lineRule="auto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химии,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 w:line="360" w:lineRule="auto"/>
        <w:ind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 w:line="360" w:lineRule="auto"/>
        <w:ind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 w:line="360" w:lineRule="auto"/>
        <w:ind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 w:line="360" w:lineRule="auto"/>
        <w:ind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 w:line="360" w:lineRule="auto"/>
        <w:ind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Саратов, 2025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</w:r>
      <w:r>
        <w:rPr>
          <w:rFonts w:ascii="Times New Roman" w:hAnsi="Times New Roman" w:cs="Times New Roman"/>
          <w:b/>
          <w:sz w:val="36"/>
          <w:szCs w:val="32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sz w:val="32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sz w:val="36"/>
          <w:szCs w:val="32"/>
        </w:rPr>
        <w:t xml:space="preserve">Содержание</w:t>
      </w:r>
      <w:r>
        <w:rPr>
          <w:rFonts w:ascii="Times New Roman" w:hAnsi="Times New Roman" w:cs="Times New Roman"/>
          <w:b/>
          <w:sz w:val="32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Введение…………………………………………………………………3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задачи………………...………..…………………………...……4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проведения работ……….……..………………………….…5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изучения проб грязи…………………………..……...…...8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результатов практической работы……...……..………....13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о </w:t>
      </w:r>
      <w:r>
        <w:rPr>
          <w:rFonts w:ascii="Times New Roman" w:hAnsi="Times New Roman" w:cs="Times New Roman"/>
          <w:sz w:val="28"/>
          <w:szCs w:val="28"/>
        </w:rPr>
        <w:t xml:space="preserve">реагентах………………..……………….……….………</w:t>
      </w:r>
      <w:r>
        <w:rPr>
          <w:rFonts w:ascii="Times New Roman" w:hAnsi="Times New Roman" w:cs="Times New Roman"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</w:t>
      </w:r>
      <w:r>
        <w:rPr>
          <w:rFonts w:ascii="Times New Roman" w:hAnsi="Times New Roman" w:cs="Times New Roman"/>
          <w:sz w:val="28"/>
          <w:szCs w:val="28"/>
        </w:rPr>
        <w:t xml:space="preserve">ы……..……………………………………….…………………...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</w:t>
      </w:r>
      <w:r>
        <w:rPr>
          <w:rFonts w:ascii="Times New Roman" w:hAnsi="Times New Roman" w:cs="Times New Roman"/>
          <w:sz w:val="28"/>
          <w:szCs w:val="28"/>
        </w:rPr>
        <w:t xml:space="preserve">итер</w:t>
      </w:r>
      <w:r>
        <w:rPr>
          <w:rFonts w:ascii="Times New Roman" w:hAnsi="Times New Roman" w:cs="Times New Roman"/>
          <w:sz w:val="28"/>
          <w:szCs w:val="28"/>
        </w:rPr>
        <w:t xml:space="preserve">атуры………...……………………………………...…….</w:t>
      </w:r>
      <w:r>
        <w:rPr>
          <w:rFonts w:ascii="Times New Roman" w:hAnsi="Times New Roman" w:cs="Times New Roman"/>
          <w:sz w:val="28"/>
          <w:szCs w:val="28"/>
        </w:rPr>
        <w:t xml:space="preserve">17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8"/>
        </w:num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 xml:space="preserve">ожения………………………...…………………………………   </w:t>
      </w:r>
      <w:r>
        <w:rPr>
          <w:rFonts w:ascii="Times New Roman" w:hAnsi="Times New Roman" w:cs="Times New Roman"/>
          <w:sz w:val="28"/>
          <w:szCs w:val="28"/>
        </w:rPr>
        <w:t xml:space="preserve">18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280" w:before="28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280" w:before="280" w:line="360" w:lineRule="auto"/>
        <w:ind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Bdr/>
        <w:spacing w:after="280" w:before="280" w:line="360" w:lineRule="auto"/>
        <w:ind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Bdr/>
        <w:spacing w:after="280" w:before="280" w:line="360" w:lineRule="auto"/>
        <w:ind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Bdr/>
        <w:spacing w:after="280" w:before="280" w:line="360" w:lineRule="auto"/>
        <w:ind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Введение</w:t>
      </w:r>
      <w:r>
        <w:rPr>
          <w:rFonts w:ascii="Times New Roman" w:hAnsi="Times New Roman" w:cs="Times New Roman"/>
          <w:b/>
          <w:sz w:val="36"/>
          <w:szCs w:val="36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Актуальность моей темы заключается в ухудшении экологического состояния городов. Высокая концентрация населения, транспорта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социальной и культурной активности – все эти внешние факторы приводят к значительному антропогенному воздействию на окружающую среду. Загрязнение городской среды приводит к различным заболеваниям, стрессам, а также снижает эффективность и производительно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сть труда.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нашем городе, как, и во многих других городах России, стоит проблема грязных улиц. Грязь мы видим повсюду: она есть на тротуаре, на дорогах и обочинах, на фасадах домов, подоконниках окон. Причем Саратов считается один из наиболее грязных гор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одов в Нижнем Поволжье. Многие люди часто упоминают слово грязь, но мало кто сможет объяснить, что именно является грязью. Как правило, слыша это слово, у человека сразу же всплывает в сознании картина улицы, покрытой последождевой и оттепельной слякотью,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 других- пластиковый и бумажный мусор, валяющийся на улицах. Нередко такому восприятию способствуют неубранные места, скопления бытового мусора. Но чаще всего грязная улица воспринимается мокрым асфальтом и дорогами. Грязь - это пыль, земля, смешанная с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одой или мелкодисперсным влажным грунтом в виде коллоидной суспензии. Известный автор словаря «Живого великорусского языка» Владимир Иванович Даль писал: «Грязь - это размокшая почва, земля с водою; слякоть или мокреть по земле; прилипшая к вещи пыль; нечи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сть». Даль также в своём словаре приводит множество пословиц и фразеологизмов, связанных со словом грязь. Например, "Распутица без грязи не стоит".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Кроме того, грязь в Саратове ассоциируется с пылью, поднимающейся с порывами ветра - это те пылевые бури, 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торые частенько зверствуют летом. Для Саратова это совершенно обыденно. Данное явление было известно жителям нашего города ещё с 19 века. Даже известный писатель Александр Дюма спрашивал у Саратовцев, увидев над городом носящиеся тучи пыли: «что же это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феномен?» Ему ответили, что это «Саратовский дождь».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Таким образом, представление о грязи в мире известно достаточно давно, ведь это неотъемлемый атрибут городов и улиц.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Обращает на себя внимание тот факт, что грязь, чаще всего, ассоциируется с присутствие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воды и снега.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работы: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38"/>
        <w:numPr>
          <w:ilvl w:val="0"/>
          <w:numId w:val="1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структуры грязи, которая находится на тротуарах, представляющая собой в нашем сознании - слякоть.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pBdr/>
        <w:spacing w:after="0"/>
        <w:ind w:left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Задачи работы: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7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Провести отбор проб грязи с тротуаров и проезжей части городских улиц в периоды максимального увлажне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7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Подготовить пробы для микро - структурного анализа;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7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Определить доминирующие твердые компоненты и установить возможные источники происхождения;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7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Выяснить влияние реагентов на людей и экологию.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Методика проведения работ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описания структуры грязи проводился отбор проб на тротуаре и обочин проезжей части дороги. В качестве полигона проведения работ были выбраны центральные улицы города Саратова. Выбран участок со средней интенсивностью движения: улица Сакко и Ванцетти 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жду улицей Горького и Вольской (см. рис.1 из «Приложение»). Пробы отбирались у бордюрного камня обочины проезжей части двух тротуаров. Это участок улицы, где проводилась регулярная уборка, и участок улицы, где уборка почти не производилась. Объем каждой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обы составлял 150 мл. Пробы переносились в колбы для отстаивания и последующего высушивания (см. «Приложение»). После отстаивания оценивались слои осадков, наблюдаемые через стенку колбы. С помощью линейки измеряли видимую мощность осадка в миллиметрах. Су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шка проб проводилась естественным путём и составила 1 месяц. Из высушенной пробы извлекались части осадка, соответствующие наблюдаемым слоям. Уплотненные фрагменты растирались в керамической ступке, после чего навеска от 5 до 20 мг переносилась на предметн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ое стекло. Каждая проба нумеровалась. Препараты рассматривались под бинокулярным микроскопом МБС-10 (см. фото 3 из «Приложение») в диапазоне увеличения 8Х -56Х. Отдельные фракции рассматривались с увеличением 98Х. Проводился визуальный осмотр препарата, оп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ределялась принадлежность наблюдаемых элементов, определялся линейный размер. Для определения линейных размеров использовался окуляр 8 Х, в фокальной плоскости которого установлена шкала с ценой деления 0,1 мм. Определение размеров проводилось подсчётом 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сла делений шкалы, которые укладываются в измеряемом участке, и умножали на число, указанное в переводной таблице,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соответствующее увеличению микроскопа, при котором производилось измерение.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Переводная таблица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определения линейных размеров наблюдаемых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объектов.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74624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2319750</wp:posOffset>
                </wp:positionV>
                <wp:extent cx="4163400" cy="4248690"/>
                <wp:effectExtent l="0" t="0" r="0" b="0"/>
                <wp:wrapSquare wrapText="bothSides"/>
                <wp:docPr id="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400" cy="424868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Ind w:w="108" w:type="dxa"/>
                              <w:tblW w:w="0" w:type="auto"/>
                              <w:tblBorders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64"/>
                              <w:gridCol w:w="2335"/>
                            </w:tblGrid>
                            <w:tr>
                              <w:trPr>
                                <w:trHeight w:val="662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 w:after="0" w:line="240" w:lineRule="auto"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Округлённое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значение увеличений, нанесённых на рукоятки барабана объективной части, крат.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Одно деление шкалы 0,1 мм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3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Соответствует величине на объекте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1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0,17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5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0,1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4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0,05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9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0,025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/>
                              </w:trPr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</w:tcBorders>
                                  <w:tcW w:w="2464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ffffff" w:fill="ffffff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W w:w="2335" w:type="dxa"/>
                                  <w:vAlign w:val="center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0,014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251674624;o:allowoverlap:true;o:allowincell:true;mso-position-horizontal-relative:page;margin-left:168.00pt;mso-position-horizontal:absolute;mso-position-vertical-relative:page;margin-top:182.66pt;mso-position-vertical:absolute;width:327.83pt;height:334.54pt;mso-wrap-distance-left:9.05pt;mso-wrap-distance-top:0.00pt;mso-wrap-distance-right:9.05pt;mso-wrap-distance-bottom:0.00pt;v-text-anchor:top;visibility:visible;" fillcolor="#FFFFFF" stroked="f">
                <v:fill opacity="0f"/>
                <w10:wrap type="square"/>
                <v:textbox inset="0,0,0,0">
                  <w:txbxContent>
                    <w:tbl>
                      <w:tblPr>
                        <w:tblInd w:w="108" w:type="dxa"/>
                        <w:tblW w:w="0" w:type="auto"/>
                        <w:tblBorders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464"/>
                        <w:gridCol w:w="2335"/>
                      </w:tblGrid>
                      <w:tr>
                        <w:trPr>
                          <w:trHeight w:val="662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Округлённое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значение увеличений, нанесённых на рукоятки барабана объективной части, крат.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Одно деление шкалы 0,1 мм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603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Соответствует величине на объекте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71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0,17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95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04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0,05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29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0,025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7"/>
                        </w:trPr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</w:tcBorders>
                            <w:tcW w:w="2464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shd w:val="clear" w:color="ffffff" w:fill="ffffff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W w:w="2335" w:type="dxa"/>
                            <w:vAlign w:val="center"/>
                            <w:textDirection w:val="lrTb"/>
                            <w:noWrap w:val="false"/>
                          </w:tcPr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0,014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компонентов проводилось исходя из их внешних признаков (форма характер поверхности, линейные размеры, цвет и прозрачность). Для идентификации минералов в ряде случаев зерно клалось между двумя предметными стеклами, раздавливалось, и рассматрива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лось под бинокулярном в раздавленном виде. Облик получившихся осколков давал возможность уточнить вид минерала. Все фракции проверялись на наличие частиц, способных реагировать на действие постоянного магнита (магнитная фракция). Реакция проверялась с испо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льзованием лабораторного магнита МРК используемого для проведения шлиховых работ (см. «Приложение»). Рабочая поверхность магнита при положении ручки, фиксирующей высоту магнита над фракцией при минимальном положении. Затем корпус опущенным магнитом плавно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отрывался от препарата, и переносился на отдельное предметное стекло. Далее магнит внутри корпуса переносился в положение подъём. При этом выделенные магнитом частицы оставались 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предметном стекле. Каждая проба проверялась на наличие магнитных компоненто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дважды. Магнитная фракция изучалась с использованием микроскопа МБС-10. В процессе определения компонентов проводилась фотосъёмка наиболее характерных из них.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Результаты изучения проб грязи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изучении препаратов удалось идентифицировать 15 объектов. Каждая проба при отстаивании отчётливо разделялась на две хорошо различимые фракции: крупная (от 0,05 мм до 1,42 мм), и мелкая (от 0,007 мм до 0,375 мм) (см. «Приложение»).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Следует также отмети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ть, что характеристики бинокуляра не позволили оценивать частицы размером менее 0,007 мм.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оценке видимой мощности (толщины) фракции в осадке, обращает на себя внимание следующее: на тротуаре, где проводилась периодическая уборка, видимая мощность круп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ной фракции составляла 12 мм, мощность мелкой фракции 1,5 мм (при объёме пробы 150 мл). На тротуаре где не проводилась, уборка видимая мощность крупной фракции составила 5-6 мм, мощность мелкой фракции 3-4 мм. Результаты представлены в виде диаграммы (рис.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2). Просматривается следующая тенденция: на тротуаре где проводилась уборка, грязь сложена основном компонентами крупной фракции; на участке где уборка не проводилась объем мелкой фракции в два раза выше по сравнению с той частью улицы, где проводилась уб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орка. У обочины дороги объём мелкой фракции близок к объёму мелкой фракции на тротуаре, где не проводилась уборка.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 отметить, что объём мелкой и крупной фракции стремятся к 50 % соотношению.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76672" behindDoc="0" locked="0" layoutInCell="1" allowOverlap="1">
                <wp:simplePos x="0" y="0"/>
                <wp:positionH relativeFrom="page">
                  <wp:posOffset>1423358</wp:posOffset>
                </wp:positionH>
                <wp:positionV relativeFrom="paragraph">
                  <wp:posOffset>159553</wp:posOffset>
                </wp:positionV>
                <wp:extent cx="5474697" cy="3050073"/>
                <wp:effectExtent l="0" t="0" r="0" b="0"/>
                <wp:wrapNone/>
                <wp:docPr id="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492156" cy="305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76672;o:allowoverlap:true;o:allowincell:true;mso-position-horizontal-relative:page;margin-left:112.08pt;mso-position-horizontal:absolute;mso-position-vertical-relative:text;margin-top:12.56pt;mso-position-vertical:absolute;width:431.08pt;height:240.16pt;mso-wrap-distance-left:9.05pt;mso-wrap-distance-top:0.00pt;mso-wrap-distance-right:9.05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Рис. 2 Соотношение мелкой и крупной фракции в 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робах после отстаивания.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крупная фракция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(см. «Приложение»).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Состав: кварц, ортоклаз, крошка кирпича, выколки стекла, синтетическое волокно, кусочки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твёрдых реагентов.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Основную массу слагают зёрна кварца. Зёрна окатанные, глянцевые, 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редко покрыты плёнкой окислов железа. В пробе встречены выколки стекла.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размера частиц в пробе: от 0,14 мм до 0,91 мм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 них определены: зёрна кварца - от 0,14 мм до 0,91 мм; ортоклаз - 0,28 мм; выколки стекла - 0,225 мм; крошка кирпича - 0,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056 мм;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Магнитная фракция: Наблюдаются разнообразные формы, из которых определены: железные шарики, вытянутые и овальные комочки, пластины, стружка. Изредка встречаются обломки кристаллов магнетита.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размеров частиц магнитной фракции: от 0,0125 мм до 2,2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крупная фракция.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(см. «Приложение»).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Состав: кварц, ортоклаз, плагиоклаз, древесное волокно, кирпичная крошка, кусочки асфальта, мусковит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Основную массу слагают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зёрна кварца. Зёрна окатанные, глянцевые, нередко покрыты плёнкой окислов железа.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размера частиц в пробе: от 0,075 мм до 0,55 мм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 них определены: зёрна кварца – от 0,075 мм до 0,5 мм; крошка известняка – от 0,1 мм до 0,55 мм; чешуйки муск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овита – от 0,275 мм до 0,4 мм; крошка кирпича -  от 0,1 мм до 0,42 мм; синтетическое волокно - толщина 0,014 мм; длина от 0,3 мм до 4 мм; кусочки асфальта – от 0,174 мм до 1,3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Магнитная фракция: Выделяется формы: сферическая (металлические шарики разме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ром от 0.028 мм до 0,112 мм), а также угловатые кусочки металла, обломки магнетита, металлическая стружка.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размеров частиц магнитной фракции: от 0,0125 мм до 2,2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крупная фракция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(см. «Приложение»).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Состав: кварц, ортоклаз, ку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сочки асфальта, зерна известняка, крошка кирпича, синтетическое волокно, кусочки бумаги, древесное волокно, останки хитиновых панцирей насекомых.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Основную массу слагают зёрна кварца. Зёрна окатанные, глянцевые, нередко покрыты плёнкой окислов жел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еза. Часто встречаются зёрна ортоклаза. Ортоклаз представлен зёрнами с многочисленными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неровностями, с глянцевой поверхностью, цвет варьирует от желтовато коричневого до красновато бордового.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размера частиц в пробе: от 0,05 мм до 1,42 мм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них определены: зёрна кварца - от 0,075 мм до 0,9 мм; ортоклаз - от 0,05 мм до 0,5 мм; известняк - от 0,075 мм до 1,425 мм; кусочки асфальта - от 0,1 мм до 1,3 мм; Крошка кирпича - от 0,075 мм до 0,475 мм; синтетическое волокно - толщина – 0,014 мм; длина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0,9 мм до 3,43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Магнитная фракция: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Встречаются глянцевые железные шарики чёрного цвета, металлическая стружка, кусочки металла, а также кусочки кристаллов магнетита.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размеров частиц магнитной фракции: от 0,0125 мм до 0,6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1 мелкая фракция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Фракция представлена зёрнами алевритовой размерности. На их фоне хорошо просматривается примесь более мелких фракций менее 0,007 мм, что может относиться к зёрнам пелитовой размерности, среди которой определены минералы 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лин, а также кварц, мусковит, крошка кирпича, древесное и синтетическое волокна.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- от 0,007 мм до 0,05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Магнитная фракция представлена железной стружкой, пластинками, металлическими шариками.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Диапазон частиц магнитной фракции: от 0,025 мм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 0,1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2 мелкая фракция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Фракция представлена зёрнами алевритовой размерности. На их фоне хорошо просматривается примесь более мелких фракций менее 0,007 мм, что может относиться к зёрнам пелитовой размерности, среди которой определе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ны минералы глин, а также кварц, мусковит, крошка кирпича стекла, древесное и синтетическое волокна.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диапазон - от 0,007 мм до 0,042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Магнитная фракция: Компоненты её представляют собой железную стружку, пластинки, а также, металлические шарики.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Диапазон частиц магнитной фракции: от 0,025 мм до 0,2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Проба № 3 мелкая фракция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Описание: Фракция представлена зёрнами алевритовой размерности. На их фоне хорошо просматривается примесь более мелких фракций менее 0,007 мм,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что может относиться к зёрна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пелитовой размерности, среди которой определены минералы глин, а также кварц, мусковит, выколки стекла, крошка кирпича, древесное и синтетическое волокна. Общий диапазон: от 0,007 мм до 0,125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Магнитная фракция: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Представлена железной стружкой, пласти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нками, угловатыми кусочками металла и металлическими шариками (редко)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Диапазон частиц магнитной фракции: от 0,025 мм до 0,1 мм.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Таким образом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 петрографическим признакам наиболее характерными компонентом являются зерна кварца размером от 0,075 мм до 0,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91 мм. Зёрна имеют окатанную глянцевую поверхность, некоторые зёрна имеют выколки. С уменьшением размера зерна увеличивается число угловатых зерен. Поверхность, которых несёт многочисленные выколки. Кроме кварца определены полевые шпаты (ортоклаз, плагиокл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аз) форма зёрен которых угловатая, слабо скатанная, с невыраженной глянцевой поверхностью; размер зёрен колеблется от 0,05 мм до 0,5 мм. Среди компонентов отчётливо выделяются слюды (биотит, мусковит) представленные расслаивающимися тонкими чешуйками разме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ром от 0,1 мм до 0,4 мм. Нередко встречаются окатанные фрагменты разного размера (от 0,1 мм до 1,3 мм) асфальта, с шероховатой матовой поверхностью серовато чёрного цвета. В крупной фракции присутствуют желтовато белые вытянутые угловатые зёрна известняка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шероховатой поверхностью, размером от 0,075 мм до 1,425 мм. Ортоклаз встречается в виде глянцевых слегка окатанных угловатых зёрен размером от 0,05 мм до 0,55 мм. Цвет зёрен варьирует, от бледно жёлтого до бордово красного. Плагиоклаз встречается в виде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слегка окатанных непрозрачных белых зёрен или же в виде коричневых глянцевых слегка окатанных зёрен с экзогенным ожелезнением. Кроме того, присутствуют органические материалы: синтетическое волокно, фрагменты хитинового покрова насекомых, волокна древесины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мелкие кусочки пластика. Особо следует отметить, что в пробах, взятых у обочины дороги, присутствуют выколки стекла с угловато заострённой поверхностью и острыми гранями; размер выколок от 0,225 мм до 0,375мм. Во всех пробах нередки слегка окатанные с ше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роховатой матовой поверхностью и даже губчатой поверхностью красновато, оранжевого цвета «крошки кирпича».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Магнитная фракция представляет собой кусочки металла различной формы, мелкий шлак. Среди основных форм стружка и сферическая форма - металлические ша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рики (см. «Приложение»). Кроме искусственных компонентов присутствует минерал магнетит в сростках с кварцем, реже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чистом виде с треугольными ровными гранями. В ряде случаев магнетит встречается окисленным до лимонита или гематита.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</w:p>
    <w:p>
      <w:pPr>
        <w:pBdr/>
        <w:spacing/>
        <w:ind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Обобщение результатов п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рактической работы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Изучая пробы и соотношение компонентов можно судить о некоторых особенностях в структуре грязи на улице. Повышенное содержание в пробах крупной фракции, на участках где проводится уборка, может объясняться тем, что в процессе уборки, в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езависимости от её способов, в первую очередь удаляются более мелкие частицы, а крупные, в том числе и твёрдые реагенты, остаются.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обочине дороги соотношение мелкой и крупной фракции стремиться к 50 %. Это может объясняться тем, что в равной степени идё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снос крупных частиц с тротуара и мелких формирующихся под влиянием активной динамики движения автотранспорта.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Феросодержащие частицы присутствуют во всех пробах и представлены железными шариками, стружкой, железным шлаком, а также, минералом магнетитом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см. «Приложение»).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Присутствие зёрен известняка объясняется разрушением дорожного покрытия, в состав которого входит щебень известняка. Разрушение происходит вследствие активного движения автотранспорта. Во всех фракциях присутствуют зёрна асфальта, что 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кже объясняется эффектом истирания поверхности.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Обращает на себя внимание присутствие во всех фракциях железных шариков и стружки. Их источником, скорее всего, являются сварочные работы, а также выброс абразивной пыли и коррозия сварочных швов. Крошка кирп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ича формируется при выветривании фасадов зданий.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Присутствие разноразмерных зёрен кварца во всех пробах может объясняться тем, что в течение зимы применяется большое количество реагентов и песка, основным компонентом которых являются кварц, а также сопутст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вующие минералы и химически активные добавки.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Подробнее о реагентах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 время гололёда специальные службы Саратова, такие как Комитет дорожного хозяйства и службы по благоустройству города, посыпают дороги специальными веществами -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реагентами.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Реагенты -</w:t>
      </w:r>
      <w:r>
        <w:rPr>
          <w:rStyle w:val="931"/>
          <w:rFonts w:ascii="Times New Roman" w:hAnsi="Times New Roman" w:eastAsia="Times New Roman" w:cs="Times New Roman"/>
          <w:color w:val="333333"/>
          <w:sz w:val="28"/>
          <w:szCs w:val="28"/>
          <w:u w:val="none"/>
          <w:shd w:val="clear" w:color="auto" w:fill="ffffff"/>
        </w:rPr>
        <w:t xml:space="preserve"> </w:t>
      </w:r>
      <w:r>
        <w:rPr>
          <w:rStyle w:val="939"/>
          <w:rFonts w:ascii="Times New Roman" w:hAnsi="Times New Roman" w:eastAsia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это твёрдые или жидкие химические вещества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</w:rPr>
        <w:t xml:space="preserve">, которые в зимний период времени распределяют по поверхности дорожного покрытия нашего города, а также они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 неотъемлемой составляющей грязи, так как являются частичками, относящимися к крупной фракции.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 w:after="0"/>
        <w:ind/>
        <w:jc w:val="both"/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939"/>
          <w:rFonts w:ascii="Times New Roman" w:hAnsi="Times New Roman" w:eastAsia="Times New Roman" w:cs="Times New Roman"/>
          <w:b w:val="0"/>
          <w:bCs w:val="0"/>
          <w:color w:val="333333"/>
          <w:sz w:val="28"/>
          <w:szCs w:val="28"/>
          <w:lang w:eastAsia="ru-RU"/>
        </w:rPr>
        <w:t xml:space="preserve"> </w:t>
      </w:r>
      <w:r>
        <w:rPr>
          <w:rStyle w:val="939"/>
          <w:rFonts w:ascii="Times New Roman" w:hAnsi="Times New Roman" w:eastAsia="Times New Roman" w:cs="Times New Roman"/>
          <w:bCs w:val="0"/>
          <w:color w:val="333333"/>
          <w:sz w:val="28"/>
          <w:szCs w:val="28"/>
          <w:lang w:eastAsia="ru-RU"/>
        </w:rPr>
        <w:t xml:space="preserve">В</w:t>
      </w:r>
      <w:r>
        <w:rPr>
          <w:rStyle w:val="939"/>
          <w:rFonts w:ascii="Times New Roman" w:hAnsi="Times New Roman" w:eastAsia="Times New Roman" w:cs="Times New Roman"/>
          <w:bCs w:val="0"/>
          <w:color w:val="333333"/>
          <w:sz w:val="28"/>
          <w:szCs w:val="28"/>
          <w:lang w:eastAsia="ru-RU"/>
        </w:rPr>
        <w:t xml:space="preserve"> нашем городе используют</w:t>
      </w:r>
      <w:r>
        <w:rPr>
          <w:rStyle w:val="939"/>
          <w:rFonts w:ascii="Times New Roman" w:hAnsi="Times New Roman" w:eastAsia="Times New Roman" w:cs="Times New Roman"/>
          <w:b w:val="0"/>
          <w:bCs w:val="0"/>
          <w:color w:val="333333"/>
          <w:sz w:val="28"/>
          <w:szCs w:val="28"/>
          <w:lang w:eastAsia="ru-RU"/>
        </w:rPr>
        <w:t xml:space="preserve"> химические реагенты, состоящие из формиатов и ацетатов, примером которых может послужить поваренная соль или хлорид кальция, которые чаще всего встречаются в твёрдом виде.</w:t>
      </w:r>
      <w:r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r>
    </w:p>
    <w:p>
      <w:pPr>
        <w:pBdr/>
        <w:shd w:val="clear" w:color="auto" w:fill="ffffff"/>
        <w:spacing w:after="0"/>
        <w:ind/>
        <w:jc w:val="both"/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939"/>
          <w:rFonts w:ascii="Times New Roman" w:hAnsi="Times New Roman" w:eastAsia="Times New Roman" w:cs="Times New Roman"/>
          <w:b w:val="0"/>
          <w:bCs w:val="0"/>
          <w:color w:val="333333"/>
          <w:sz w:val="28"/>
          <w:szCs w:val="28"/>
          <w:lang w:eastAsia="ru-RU"/>
        </w:rPr>
        <w:t xml:space="preserve"> Также достаточно часто применяются фрикционные   и комбини</w:t>
      </w:r>
      <w:r>
        <w:rPr>
          <w:rStyle w:val="939"/>
          <w:rFonts w:ascii="Times New Roman" w:hAnsi="Times New Roman" w:eastAsia="Times New Roman" w:cs="Times New Roman"/>
          <w:b w:val="0"/>
          <w:bCs w:val="0"/>
          <w:color w:val="333333"/>
          <w:sz w:val="28"/>
          <w:szCs w:val="28"/>
          <w:lang w:eastAsia="ru-RU"/>
        </w:rPr>
        <w:t xml:space="preserve">рованные реагенты, состоящие из щебня, песка и гранитной крошки, представленные в смешанном виде.</w:t>
      </w:r>
      <w:r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r>
    </w:p>
    <w:p>
      <w:pPr>
        <w:pBdr/>
        <w:shd w:val="clear" w:color="auto" w:fill="ffffff"/>
        <w:spacing w:after="0"/>
        <w:ind/>
        <w:jc w:val="both"/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r>
      <w:r>
        <w:rPr>
          <w:rStyle w:val="939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/>
        <w:jc w:val="both"/>
        <w:rPr>
          <w:color w:val="333333"/>
          <w:sz w:val="28"/>
          <w:szCs w:val="28"/>
        </w:rPr>
      </w:pPr>
      <w:r>
        <w:rPr>
          <w:rStyle w:val="939"/>
          <w:color w:val="333333"/>
          <w:sz w:val="28"/>
          <w:szCs w:val="28"/>
        </w:rPr>
        <w:t xml:space="preserve">Польза реагентов заключается в том, что </w:t>
      </w:r>
      <w:r>
        <w:rPr>
          <w:rStyle w:val="939"/>
          <w:b w:val="0"/>
          <w:color w:val="333333"/>
          <w:sz w:val="28"/>
          <w:szCs w:val="28"/>
        </w:rPr>
        <w:t xml:space="preserve">противогололёдные реагенты используют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для обеспечения безопасности движения как машин, так и людей нашего города</w:t>
      </w:r>
      <w:r>
        <w:rPr>
          <w:color w:val="333333"/>
          <w:sz w:val="28"/>
          <w:szCs w:val="28"/>
        </w:rPr>
        <w:t xml:space="preserve">. Обработка улиц реагентами облегчает работу снегоуборочной техники, так как предотвращает уплотнение снега и его смерзание с дорожным покрытием.</w:t>
      </w:r>
      <w:r>
        <w:rPr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  <w:r>
        <w:rPr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Вред реагентов заключается </w:t>
      </w:r>
      <w:r>
        <w:rPr>
          <w:color w:val="333333"/>
          <w:sz w:val="28"/>
          <w:szCs w:val="28"/>
        </w:rPr>
        <w:t xml:space="preserve">в том, что происходит</w:t>
      </w:r>
      <w:r>
        <w:rPr>
          <w:b/>
          <w:color w:val="333333"/>
          <w:sz w:val="28"/>
          <w:szCs w:val="28"/>
        </w:rPr>
        <w:t xml:space="preserve"> </w:t>
      </w:r>
      <w:r>
        <w:rPr>
          <w:rStyle w:val="939"/>
          <w:b w:val="0"/>
          <w:color w:val="333333"/>
          <w:sz w:val="28"/>
          <w:szCs w:val="28"/>
        </w:rPr>
        <w:t xml:space="preserve">загрязнение почвы</w:t>
      </w:r>
      <w:r>
        <w:rPr>
          <w:b/>
          <w:color w:val="333333"/>
          <w:sz w:val="28"/>
          <w:szCs w:val="28"/>
        </w:rPr>
        <w:t xml:space="preserve">: </w:t>
      </w:r>
      <w:r>
        <w:rPr>
          <w:color w:val="333333"/>
          <w:sz w:val="28"/>
          <w:szCs w:val="28"/>
        </w:rPr>
        <w:t xml:space="preserve">под воздействием хлоридов земля уплотняет</w:t>
      </w:r>
      <w:r>
        <w:rPr>
          <w:color w:val="333333"/>
          <w:sz w:val="28"/>
          <w:szCs w:val="28"/>
        </w:rPr>
        <w:t xml:space="preserve">ся, что приводит к деградации почвы и ухудшению жизни микро- и макроорганизмов (червей, грибов, низших растений).</w:t>
      </w:r>
      <w:r>
        <w:rPr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Также стоит отметить у</w:t>
      </w:r>
      <w:r>
        <w:rPr>
          <w:rStyle w:val="939"/>
          <w:b w:val="0"/>
          <w:color w:val="333333"/>
          <w:sz w:val="28"/>
          <w:szCs w:val="28"/>
        </w:rPr>
        <w:t xml:space="preserve">худшение качества воды в Саратовской области</w:t>
      </w:r>
      <w:r>
        <w:rPr>
          <w:b/>
          <w:color w:val="333333"/>
          <w:sz w:val="28"/>
          <w:szCs w:val="28"/>
        </w:rPr>
        <w:t xml:space="preserve">: </w:t>
      </w:r>
      <w:r>
        <w:rPr>
          <w:color w:val="333333"/>
          <w:sz w:val="28"/>
          <w:szCs w:val="28"/>
        </w:rPr>
        <w:t xml:space="preserve">когда реагенты на основе соли попадают через грунтовые воды или через ливн</w:t>
      </w:r>
      <w:r>
        <w:rPr>
          <w:color w:val="333333"/>
          <w:sz w:val="28"/>
          <w:szCs w:val="28"/>
        </w:rPr>
        <w:t xml:space="preserve">евые стоки в поверхностные воды, ухудшается качество воды в них.</w:t>
      </w:r>
      <w:r>
        <w:rPr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Нельзя не заметить того, что реагенты усиливают коррозию металлов (трубопроводов, свай домов, металлической арматуры), что может привести к порче объектов подземных коммуникаций и зданий.</w:t>
      </w:r>
      <w:r>
        <w:rPr>
          <w:color w:val="333333"/>
          <w:sz w:val="28"/>
          <w:szCs w:val="28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t xml:space="preserve">Сто</w:t>
      </w:r>
      <w:r>
        <w:rPr>
          <w:color w:val="333333"/>
          <w:sz w:val="28"/>
          <w:szCs w:val="28"/>
        </w:rPr>
        <w:t xml:space="preserve">ит упомянуть момент негативного влияния реагентов на обувь людей и конечности животных: </w:t>
      </w:r>
      <w:r>
        <w:rPr>
          <w:color w:val="000000"/>
          <w:sz w:val="28"/>
          <w:szCs w:val="28"/>
          <w:shd w:val="clear" w:color="auto" w:fill="ffffff"/>
        </w:rPr>
        <w:t xml:space="preserve">соли, входящие в состав антигололедных реагентов, раздражают кожный покров и приводят к болезненным ощущениям при ходьбе у питомцев. Выходом из ситуации являются специа</w:t>
      </w:r>
      <w:r>
        <w:rPr>
          <w:color w:val="000000"/>
          <w:sz w:val="28"/>
          <w:szCs w:val="28"/>
          <w:shd w:val="clear" w:color="auto" w:fill="ffffff"/>
        </w:rPr>
        <w:t xml:space="preserve">льные ботинки или воск, который образует водоотталкивающую пленку и защищает не только от реагентов, но и мазута, а также смягчает подушечки лап.  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Пропитанная солями </w:t>
      </w:r>
      <w:r>
        <w:rPr>
          <w:bCs/>
          <w:color w:val="333333"/>
          <w:sz w:val="28"/>
          <w:szCs w:val="28"/>
          <w:shd w:val="clear" w:color="auto" w:fill="ffffff"/>
        </w:rPr>
        <w:t xml:space="preserve">обувная</w:t>
      </w:r>
      <w:r>
        <w:rPr>
          <w:color w:val="333333"/>
          <w:sz w:val="28"/>
          <w:szCs w:val="28"/>
          <w:shd w:val="clear" w:color="auto" w:fill="ffffff"/>
        </w:rPr>
        <w:t xml:space="preserve"> кожа при высыхании теряет свой внешний вид за счет кристаллизации и прорастания </w:t>
      </w:r>
      <w:r>
        <w:rPr>
          <w:color w:val="333333"/>
          <w:sz w:val="28"/>
          <w:szCs w:val="28"/>
          <w:shd w:val="clear" w:color="auto" w:fill="ffffff"/>
        </w:rPr>
        <w:t xml:space="preserve">солей внутри волокон материала.</w:t>
      </w:r>
      <w:r>
        <w:rPr>
          <w:color w:val="333333"/>
          <w:sz w:val="28"/>
          <w:szCs w:val="28"/>
          <w:shd w:val="clear" w:color="auto" w:fill="ffffff"/>
        </w:rPr>
      </w:r>
    </w:p>
    <w:p>
      <w:pPr>
        <w:pStyle w:val="940"/>
        <w:pBdr/>
        <w:shd w:val="clear" w:color="auto" w:fill="ffffff"/>
        <w:spacing w:after="0" w:afterAutospacing="0" w:before="0" w:beforeAutospacing="0" w:line="276" w:lineRule="auto"/>
        <w:ind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Это приводит к разрушению, вздутию и появлению белых разводов </w:t>
      </w:r>
      <w:r>
        <w:rPr>
          <w:bCs/>
          <w:color w:val="333333"/>
          <w:sz w:val="28"/>
          <w:szCs w:val="28"/>
          <w:shd w:val="clear" w:color="auto" w:fill="ffffff"/>
        </w:rPr>
        <w:t xml:space="preserve">на обуви</w:t>
      </w:r>
      <w:r>
        <w:rPr>
          <w:color w:val="333333"/>
          <w:sz w:val="28"/>
          <w:szCs w:val="28"/>
          <w:shd w:val="clear" w:color="auto" w:fill="ffffff"/>
        </w:rPr>
        <w:t xml:space="preserve">, теряется влагоустойчивость. </w:t>
      </w:r>
      <w:r>
        <w:rPr>
          <w:color w:val="333333"/>
          <w:sz w:val="28"/>
          <w:szCs w:val="28"/>
        </w:rPr>
        <w:t xml:space="preserve">Чтобы снизить негативное влияние реагентов на экологию, важно соблюдать правила содержания дорог нашего города в </w:t>
      </w:r>
      <w:r>
        <w:rPr>
          <w:color w:val="333333"/>
          <w:sz w:val="28"/>
          <w:szCs w:val="28"/>
        </w:rPr>
        <w:t xml:space="preserve">зимнее врем</w:t>
      </w:r>
      <w:r>
        <w:rPr>
          <w:color w:val="333333"/>
          <w:sz w:val="28"/>
          <w:szCs w:val="28"/>
        </w:rPr>
        <w:t xml:space="preserve">я. Необходимо вовремя убирать и вывозить подтаявший снег на специальные полигоны.</w:t>
      </w:r>
      <w:r>
        <w:rPr>
          <w:color w:val="333333"/>
          <w:sz w:val="28"/>
          <w:szCs w:val="28"/>
          <w:shd w:val="clear" w:color="auto" w:fill="ffffff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Выводы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Подводя итоги данной работы можно сделать следующие выводы: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10"/>
        </w:numPr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Был осуществлён сбор грязи с тротуаров и проезжей части дороги, а также был проведён анализ её структуры.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10"/>
        </w:numPr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Произошла подготовка проб для микро - структурного анализа. Пробы выступали в виде грязи, собранной с различных поверхностей разной степени загрязнения.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10"/>
        </w:numPr>
        <w:pBdr/>
        <w:spacing w:after="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Определены доминирующие твёрдые компоненты и их источники происхождения, такие как зёрна известняка и 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 источник – разрушающееся дорожное покрытие в состав которого входит щебень известняка.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компонентов проводилось исходя из их внешних признаков (форма характер поверхности, линейные размеры, цвет и прозрачность).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10"/>
        </w:numPr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Было выяснено влияние реагент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ов на окружающую среду и живых существ. Оно проявляется в том, что на улице образуется грязь, обувь людей приходит в негодность, а также реагенты разъедают кожу на лапах домашних животных.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160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Список литературы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9"/>
        </w:num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Белонович А.В. Химико-аналитические исследован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ия // Саратовский научно-образовательный геоэкологический полигон: Учеб. Пособие – Саратов: Изд-во Сарат. ун-та, 2007г. – с. 177-184.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9"/>
        </w:num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Гладков В.А. </w:t>
      </w:r>
      <w:hyperlink r:id="rId13" w:tooltip="http://www.xumuk.ru/encyklopedia/271.html" w:history="1"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Анал</w:t>
        </w:r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итическая химия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промышленных сточных </w:t>
      </w:r>
      <w:hyperlink r:id="rId14" w:tooltip="http://www.xumuk.ru/encyklopedia/786.html" w:history="1"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вод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. - М. 1984..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9"/>
        </w:num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Лурье Ю.Ю. Методы </w:t>
      </w:r>
      <w:hyperlink r:id="rId15" w:tooltip="http://www.xumuk.ru/bse/173.html" w:history="1"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химического анализа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. кн. 1, 2, 3 - М. 1977;,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8"/>
        <w:numPr>
          <w:ilvl w:val="0"/>
          <w:numId w:val="9"/>
        </w:numPr>
        <w:pBdr/>
        <w:spacing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Руководство по </w:t>
      </w:r>
      <w:hyperlink r:id="rId16" w:tooltip="http://www.xumuk.ru/bse/173.html" w:history="1"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химическому анализу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верхностных </w:t>
      </w:r>
      <w:hyperlink r:id="rId17" w:tooltip="http://www.xumuk.ru/encyklopedia/786.html" w:history="1">
        <w:r>
          <w:rPr>
            <w:rStyle w:val="931"/>
            <w:rFonts w:ascii="Times New Roman" w:hAnsi="Times New Roman" w:eastAsia="Times New Roman" w:cs="Times New Roman"/>
            <w:sz w:val="28"/>
            <w:szCs w:val="28"/>
          </w:rPr>
          <w:t xml:space="preserve">вод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суши, под ред. А.Д. Семенова. Л., 1977;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Приложение</w:t>
      </w:r>
      <w:r>
        <w:rPr>
          <w:rFonts w:ascii="Times New Roman" w:hAnsi="Times New Roman" w:cs="Times New Roman"/>
          <w:b/>
          <w:bCs/>
          <w:sz w:val="40"/>
          <w:szCs w:val="4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ageBreakBefore w:val="true"/>
        <w:pBdr/>
        <w:spacing w:after="0" w:line="240" w:lineRule="auto"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52705</wp:posOffset>
                </wp:positionV>
                <wp:extent cx="4332605" cy="3581400"/>
                <wp:effectExtent l="0" t="0" r="0" b="0"/>
                <wp:wrapNone/>
                <wp:docPr id="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33260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62336;o:allowoverlap:true;o:allowincell:true;mso-position-horizontal-relative:text;margin-left:45.00pt;mso-position-horizontal:absolute;mso-position-vertical-relative:text;margin-top:4.15pt;mso-position-vertical:absolute;width:341.15pt;height:282.00pt;mso-wrap-distance-left:9.05pt;mso-wrap-distance-top:0.00pt;mso-wrap-distance-right:9.05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 Схема территории центральной части г. Саратова в рамке участок, где проводился отбор проб.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7620</wp:posOffset>
                </wp:positionV>
                <wp:extent cx="5231130" cy="3253740"/>
                <wp:effectExtent l="0" t="0" r="7620" b="3810"/>
                <wp:wrapNone/>
                <wp:docPr id="4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3113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251663360;o:allowoverlap:true;o:allowincell:true;mso-position-horizontal-relative:text;margin-left:12.00pt;mso-position-horizontal:absolute;mso-position-vertical-relative:text;margin-top:0.60pt;mso-position-vertical:absolute;width:411.90pt;height:256.20pt;mso-wrap-distance-left:9.05pt;mso-wrap-distance-top:0.00pt;mso-wrap-distance-right:9.05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Bdr/>
        <w:spacing w:after="0" w:line="240" w:lineRule="auto"/>
        <w:ind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Колбы с отстоявшимися и высушенными пробами. На этикетке написан номер пробы и место отбора.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12065</wp:posOffset>
                </wp:positionV>
                <wp:extent cx="3529903" cy="3987210"/>
                <wp:effectExtent l="0" t="0" r="0" b="0"/>
                <wp:wrapNone/>
                <wp:docPr id="5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529903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65408;o:allowoverlap:true;o:allowincell:true;mso-position-horizontal-relative:text;margin-left:81.85pt;mso-position-horizontal:absolute;mso-position-vertical-relative:text;margin-top:0.95pt;mso-position-vertical:absolute;width:277.95pt;height:313.95pt;mso-wrap-distance-left:9.05pt;mso-wrap-distance-top:0.00pt;mso-wrap-distance-right:9.05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магнитной фракции из основ</w:t>
      </w:r>
      <w:r>
        <w:rPr>
          <w:rFonts w:ascii="Times New Roman" w:hAnsi="Times New Roman" w:cs="Times New Roman"/>
          <w:sz w:val="28"/>
          <w:szCs w:val="28"/>
        </w:rPr>
        <w:t xml:space="preserve">ной массы с помощью магнита МРК.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789689</wp:posOffset>
                </wp:positionH>
                <wp:positionV relativeFrom="paragraph">
                  <wp:posOffset>135669</wp:posOffset>
                </wp:positionV>
                <wp:extent cx="4124960" cy="3093720"/>
                <wp:effectExtent l="0" t="0" r="8890" b="0"/>
                <wp:wrapNone/>
                <wp:docPr id="6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124960" cy="309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66432;o:allowoverlap:true;o:allowincell:true;mso-position-horizontal-relative:text;margin-left:62.18pt;mso-position-horizontal:absolute;mso-position-vertical-relative:text;margin-top:10.68pt;mso-position-vertical:absolute;width:324.80pt;height:243.60pt;mso-wrap-distance-left:9.05pt;mso-wrap-distance-top:0.00pt;mso-wrap-distance-right:9.05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Крупная фракция 1 проба. Овалами и кругами обозначен кварц, стрелками кусочки асфальта. Увеличение в 16 раз.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-535674</wp:posOffset>
                </wp:positionV>
                <wp:extent cx="4456430" cy="3342005"/>
                <wp:effectExtent l="0" t="0" r="1270" b="0"/>
                <wp:wrapNone/>
                <wp:docPr id="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456430" cy="334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67456;o:allowoverlap:true;o:allowincell:true;mso-position-horizontal-relative:text;margin-left:51.30pt;mso-position-horizontal:absolute;mso-position-vertical-relative:text;margin-top:-42.18pt;mso-position-vertical:absolute;width:350.90pt;height:263.15pt;mso-wrap-distance-left:9.05pt;mso-wrap-distance-top:0.00pt;mso-wrap-distance-right:9.05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Крупная фракция 2 проба. В овал заключены зёрна кварца; стрелки указывают на кусочки асфальта; в рамку заключены зёрна асфальта. Увеличение в 32 раза.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69504" behindDoc="0" locked="0" layoutInCell="1" allowOverlap="1">
                <wp:simplePos x="0" y="0"/>
                <wp:positionH relativeFrom="column">
                  <wp:posOffset>1163025</wp:posOffset>
                </wp:positionH>
                <wp:positionV relativeFrom="paragraph">
                  <wp:posOffset>19581</wp:posOffset>
                </wp:positionV>
                <wp:extent cx="3466214" cy="2999098"/>
                <wp:effectExtent l="0" t="0" r="1270" b="0"/>
                <wp:wrapNone/>
                <wp:docPr id="8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466214" cy="2999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251669504;o:allowoverlap:true;o:allowincell:true;mso-position-horizontal-relative:text;margin-left:91.58pt;mso-position-horizontal:absolute;mso-position-vertical-relative:text;margin-top:1.54pt;mso-position-vertical:absolute;width:272.93pt;height:236.15pt;mso-wrap-distance-left:9.05pt;mso-wrap-distance-top:0.00pt;mso-wrap-distance-right:9.05pt;mso-wrap-distance-bottom:0.00pt;z-index:1;" stroked="f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Крупная фракция 3 проба. На фото овалами и окружностями обозначены наиболее крупные зёрна кварца; в рамках заключены крошки кирпича; рамка с волнистыми краями показывает на ортоклаз; стрелки указывают на частички асфальта. Увеличение в 32 раза.</w:t>
      </w:r>
      <w:r>
        <w:rPr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705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-379095</wp:posOffset>
                </wp:positionV>
                <wp:extent cx="4114762" cy="3577649"/>
                <wp:effectExtent l="0" t="0" r="635" b="3810"/>
                <wp:wrapNone/>
                <wp:docPr id="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114762" cy="3577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251670528;o:allowoverlap:true;o:allowincell:true;mso-position-horizontal-relative:page;mso-position-horizontal:center;mso-position-vertical-relative:text;margin-top:-29.85pt;mso-position-vertical:absolute;width:324.00pt;height:281.70pt;mso-wrap-distance-left:9.05pt;mso-wrap-distance-top:0.00pt;mso-wrap-distance-right:9.05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многочисленных железных шариков, встреченных во всех магнитных фракциях. Увеличение в 32 раза.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7155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5715</wp:posOffset>
                </wp:positionV>
                <wp:extent cx="4114210" cy="3073919"/>
                <wp:effectExtent l="0" t="0" r="635" b="0"/>
                <wp:wrapNone/>
                <wp:docPr id="10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114210" cy="30739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251671552;o:allowoverlap:true;o:allowincell:true;mso-position-horizontal-relative:text;margin-left:45.20pt;mso-position-horizontal:absolute;mso-position-vertical-relative:text;margin-top:0.45pt;mso-position-vertical:absolute;width:323.95pt;height:242.04pt;mso-wrap-distance-left:9.05pt;mso-wrap-distance-top:0.00pt;mso-wrap-distance-right:9.05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вид магнитной фракции. На фото изображены примагнитившиеся друг к другу кусочки металла, железные шарики. Увеличение в 32 раза.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51672576" behindDoc="0" locked="0" layoutInCell="1" allowOverlap="1">
                <wp:simplePos x="0" y="0"/>
                <wp:positionH relativeFrom="page">
                  <wp:posOffset>1471930</wp:posOffset>
                </wp:positionH>
                <wp:positionV relativeFrom="paragraph">
                  <wp:posOffset>-316865</wp:posOffset>
                </wp:positionV>
                <wp:extent cx="4864100" cy="3143885"/>
                <wp:effectExtent l="0" t="0" r="0" b="0"/>
                <wp:wrapNone/>
                <wp:docPr id="1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64100" cy="3143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251672576;o:allowoverlap:true;o:allowincell:true;mso-position-horizontal-relative:page;margin-left:115.90pt;mso-position-horizontal:absolute;mso-position-vertical-relative:text;margin-top:-24.95pt;mso-position-vertical:absolute;width:383.00pt;height:247.55pt;mso-wrap-distance-left:9.05pt;mso-wrap-distance-top:0.00pt;mso-wrap-distance-right:9.05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Общий вид мелкой фракции. Комочки на фото это слипшиеся от статического электричества мелкие частички. Увеличение в 32 раза.</w:t>
      </w:r>
      <w:r>
        <w:rPr>
          <w:sz w:val="28"/>
          <w:szCs w:val="28"/>
        </w:rPr>
      </w:r>
    </w:p>
    <w:p>
      <w:pPr>
        <w:pBdr/>
        <w:spacing/>
        <w:ind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footerReference w:type="default" r:id="rId9"/>
      <w:footnotePr/>
      <w:endnotePr/>
      <w:type w:val="nextPage"/>
      <w:pgSz w:h="16838" w:orient="portrait" w:w="11906"/>
      <w:pgMar w:top="1134" w:right="850" w:bottom="1134" w:left="1701" w:header="708" w:footer="708" w:gutter="0"/>
      <w:pgNumType w:start="1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imSun">
    <w:panose1 w:val="02010600030101010101"/>
  </w:font>
  <w:font w:name="Times New Roman">
    <w:panose1 w:val="02020603050405020304"/>
  </w:font>
  <w:font w:name="Segoe UI">
    <w:panose1 w:val="020B0502040204020203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099988545"/>
      <w:docPartObj>
        <w:docPartGallery w:val="Page Numbers (Bottom of Page)"/>
        <w:docPartUnique w:val="true"/>
      </w:docPartObj>
      <w:rPr/>
    </w:sdtPr>
    <w:sdtContent>
      <w:p>
        <w:pPr>
          <w:pStyle w:val="934"/>
          <w:pBdr/>
          <w:spacing/>
          <w:ind/>
          <w:jc w:val="center"/>
          <w:rPr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34"/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1003"/>
      </w:pPr>
      <w:rPr>
        <w:rFonts w:hint="default"/>
        <w:sz w:val="28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23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443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163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83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03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23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043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763"/>
      </w:pPr>
      <w:rPr/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spacing/>
        <w:ind w:hanging="360" w:left="36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>
        <w:rFonts w:hint="default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decimal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2">
      <w:isLgl w:val="false"/>
      <w:lvlJc w:val="left"/>
      <w:lvlText w:val="%3."/>
      <w:numFmt w:val="decimal"/>
      <w:pPr>
        <w:pBdr/>
        <w:tabs>
          <w:tab w:val="num" w:leader="none" w:pos="2160"/>
        </w:tabs>
        <w:spacing/>
        <w:ind w:hanging="36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decimal"/>
      <w:pPr>
        <w:pBdr/>
        <w:tabs>
          <w:tab w:val="num" w:leader="none" w:pos="3600"/>
        </w:tabs>
        <w:spacing/>
        <w:ind w:hanging="360" w:left="3600"/>
      </w:pPr>
      <w:rPr/>
      <w:start w:val="1"/>
      <w:suff w:val="tab"/>
    </w:lvl>
    <w:lvl w:ilvl="5">
      <w:isLgl w:val="false"/>
      <w:lvlJc w:val="left"/>
      <w:lvlText w:val="%6."/>
      <w:numFmt w:val="decimal"/>
      <w:pPr>
        <w:pBdr/>
        <w:tabs>
          <w:tab w:val="num" w:leader="none" w:pos="4320"/>
        </w:tabs>
        <w:spacing/>
        <w:ind w:hanging="36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decimal"/>
      <w:pPr>
        <w:pBdr/>
        <w:tabs>
          <w:tab w:val="num" w:leader="none" w:pos="5760"/>
        </w:tabs>
        <w:spacing/>
        <w:ind w:hanging="360" w:left="5760"/>
      </w:pPr>
      <w:rPr/>
      <w:start w:val="1"/>
      <w:suff w:val="tab"/>
    </w:lvl>
    <w:lvl w:ilvl="8">
      <w:isLgl w:val="false"/>
      <w:lvlJc w:val="left"/>
      <w:lvlText w:val="%9."/>
      <w:numFmt w:val="decimal"/>
      <w:pPr>
        <w:pBdr/>
        <w:tabs>
          <w:tab w:val="num" w:leader="none" w:pos="6480"/>
        </w:tabs>
        <w:spacing/>
        <w:ind w:hanging="36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"/>
      <w:numFmt w:val="bullet"/>
      <w:pPr>
        <w:pBdr/>
        <w:spacing/>
        <w:ind w:hanging="360" w:left="643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9">
    <w:name w:val="Heading 1 Char"/>
    <w:basedOn w:val="756"/>
    <w:link w:val="7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56"/>
    <w:link w:val="74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56"/>
    <w:link w:val="74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56"/>
    <w:link w:val="75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56"/>
    <w:link w:val="75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56"/>
    <w:link w:val="75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56"/>
    <w:link w:val="75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56"/>
    <w:link w:val="75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56"/>
    <w:link w:val="75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56"/>
    <w:link w:val="89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56"/>
    <w:link w:val="897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756"/>
    <w:link w:val="899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756"/>
    <w:link w:val="90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81">
    <w:name w:val="Footnote Text Char"/>
    <w:basedOn w:val="756"/>
    <w:link w:val="913"/>
    <w:uiPriority w:val="99"/>
    <w:semiHidden/>
    <w:pPr>
      <w:pBdr/>
      <w:spacing/>
      <w:ind/>
    </w:pPr>
    <w:rPr>
      <w:sz w:val="20"/>
      <w:szCs w:val="20"/>
    </w:rPr>
  </w:style>
  <w:style w:type="character" w:styleId="184">
    <w:name w:val="Endnote Text Char"/>
    <w:basedOn w:val="756"/>
    <w:link w:val="916"/>
    <w:uiPriority w:val="99"/>
    <w:semiHidden/>
    <w:pPr>
      <w:pBdr/>
      <w:spacing/>
      <w:ind/>
    </w:pPr>
    <w:rPr>
      <w:sz w:val="20"/>
      <w:szCs w:val="20"/>
    </w:rPr>
  </w:style>
  <w:style w:type="paragraph" w:styleId="746" w:default="1">
    <w:name w:val="Normal"/>
    <w:qFormat/>
    <w:pPr>
      <w:pBdr/>
      <w:spacing w:after="200" w:line="276" w:lineRule="auto"/>
      <w:ind/>
    </w:pPr>
    <w:rPr>
      <w:rFonts w:ascii="Calibri" w:hAnsi="Calibri" w:eastAsia="Calibri" w:cs="Calibri"/>
      <w:lang w:eastAsia="ar-SA"/>
    </w:rPr>
  </w:style>
  <w:style w:type="paragraph" w:styleId="747">
    <w:name w:val="Heading 1"/>
    <w:basedOn w:val="746"/>
    <w:next w:val="746"/>
    <w:link w:val="886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paragraph" w:styleId="748">
    <w:name w:val="Heading 2"/>
    <w:basedOn w:val="746"/>
    <w:next w:val="746"/>
    <w:link w:val="887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paragraph" w:styleId="749">
    <w:name w:val="Heading 3"/>
    <w:basedOn w:val="746"/>
    <w:next w:val="746"/>
    <w:link w:val="888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paragraph" w:styleId="750">
    <w:name w:val="Heading 4"/>
    <w:basedOn w:val="746"/>
    <w:next w:val="746"/>
    <w:link w:val="889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2e74b5" w:themeColor="accent1" w:themeShade="BF"/>
    </w:rPr>
  </w:style>
  <w:style w:type="paragraph" w:styleId="751">
    <w:name w:val="Heading 5"/>
    <w:basedOn w:val="746"/>
    <w:next w:val="746"/>
    <w:link w:val="890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2e74b5" w:themeColor="accent1" w:themeShade="BF"/>
    </w:rPr>
  </w:style>
  <w:style w:type="paragraph" w:styleId="752">
    <w:name w:val="Heading 6"/>
    <w:basedOn w:val="746"/>
    <w:next w:val="746"/>
    <w:link w:val="891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53">
    <w:name w:val="Heading 7"/>
    <w:basedOn w:val="746"/>
    <w:next w:val="746"/>
    <w:link w:val="892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54">
    <w:name w:val="Heading 8"/>
    <w:basedOn w:val="746"/>
    <w:next w:val="746"/>
    <w:link w:val="893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55">
    <w:name w:val="Heading 9"/>
    <w:basedOn w:val="746"/>
    <w:next w:val="746"/>
    <w:link w:val="89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56" w:default="1">
    <w:name w:val="Default Paragraph Font"/>
    <w:uiPriority w:val="1"/>
    <w:semiHidden/>
    <w:unhideWhenUsed/>
    <w:pPr>
      <w:pBdr/>
      <w:spacing/>
      <w:ind/>
    </w:pPr>
  </w:style>
  <w:style w:type="table" w:styleId="75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58" w:default="1">
    <w:name w:val="No List"/>
    <w:uiPriority w:val="99"/>
    <w:semiHidden/>
    <w:unhideWhenUsed/>
    <w:pPr>
      <w:pBdr/>
      <w:spacing/>
      <w:ind/>
    </w:pPr>
  </w:style>
  <w:style w:type="character" w:styleId="759">
    <w:name w:val="Placeholder Text"/>
    <w:basedOn w:val="756"/>
    <w:uiPriority w:val="99"/>
    <w:semiHidden/>
    <w:pPr>
      <w:pBdr/>
      <w:spacing/>
      <w:ind/>
    </w:pPr>
    <w:rPr>
      <w:color w:val="666666"/>
    </w:rPr>
  </w:style>
  <w:style w:type="table" w:styleId="760">
    <w:name w:val="Table Grid"/>
    <w:basedOn w:val="757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 w:customStyle="1">
    <w:name w:val="Table Grid Light"/>
    <w:basedOn w:val="75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Plain Table 1"/>
    <w:basedOn w:val="75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Plain Table 2"/>
    <w:basedOn w:val="757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Plain Table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Plain Table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Plain Table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1 Light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1 Light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1 Light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1 Light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1 Light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1 Light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1 Light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2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2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2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2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2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2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3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3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3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3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3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3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4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4 - Accent 1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4 - Accent 2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4 - Accent 3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4 - Accent 4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4 - Accent 5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4 - Accent 6"/>
    <w:basedOn w:val="75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5 Dark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5 Dark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5 Dark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5 Dark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5 Dark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5 Dark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5 Dark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6 Colorful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6 Colorful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6 Colorful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6 Colorful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6 Colorful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6 Colorful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6 Colorful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7 Colorful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7 Colorful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7 Colorful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7 Colorful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7 Colorful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Grid Table 7 Colorful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Grid Table 7 Colorful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1 Light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1 Light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1 Light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1 Light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1 Light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1 Light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1 Light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2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2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2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2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2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2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3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3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3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3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3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3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4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4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4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4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4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4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5 Dark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5 Dark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5 Dark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5 Dark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5 Dark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5 Dark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5 Dark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6 Colorful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6 Colorful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6 Colorful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6 Colorful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6 Colorful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6 Colorful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6 Colorful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7 Colorful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7 Colorful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7 Colorful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7 Colorful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7 Colorful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st Table 7 Colorful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st Table 7 Colorful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ned - Accent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ned - Accent 1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ned - Accent 2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ned - Accent 3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ned - Accent 4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ned - Accent 5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Lined - Accent 6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&amp; Lined - Accent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&amp; Lined - Accent 1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 &amp; Lined - Accent 2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&amp; Lined - Accent 3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&amp; Lined - Accent 4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 &amp; Lined - Accent 5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 &amp; Lined - Accent 6"/>
    <w:basedOn w:val="757"/>
    <w:uiPriority w:val="99"/>
    <w:pPr>
      <w:pBdr/>
      <w:spacing w:after="0" w:line="240" w:lineRule="auto"/>
      <w:ind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- Accent 1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Bordered - Accent 2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Bordered - Accent 3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Bordered - Accent 4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Bordered - Accent 5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Bordered - Accent 6"/>
    <w:basedOn w:val="75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6" w:customStyle="1">
    <w:name w:val="Заголовок 1 Знак"/>
    <w:basedOn w:val="756"/>
    <w:link w:val="747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character" w:styleId="887" w:customStyle="1">
    <w:name w:val="Заголовок 2 Знак"/>
    <w:basedOn w:val="756"/>
    <w:link w:val="748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character" w:styleId="888" w:customStyle="1">
    <w:name w:val="Заголовок 3 Знак"/>
    <w:basedOn w:val="756"/>
    <w:link w:val="749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character" w:styleId="889" w:customStyle="1">
    <w:name w:val="Заголовок 4 Знак"/>
    <w:basedOn w:val="756"/>
    <w:link w:val="750"/>
    <w:uiPriority w:val="9"/>
    <w:pPr>
      <w:pBdr/>
      <w:spacing/>
      <w:ind/>
    </w:pPr>
    <w:rPr>
      <w:rFonts w:ascii="Arial" w:hAnsi="Arial" w:eastAsia="Arial" w:cs="Arial"/>
      <w:i/>
      <w:iCs/>
      <w:color w:val="2e74b5" w:themeColor="accent1" w:themeShade="BF"/>
    </w:rPr>
  </w:style>
  <w:style w:type="character" w:styleId="890" w:customStyle="1">
    <w:name w:val="Заголовок 5 Знак"/>
    <w:basedOn w:val="756"/>
    <w:link w:val="751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</w:rPr>
  </w:style>
  <w:style w:type="character" w:styleId="891" w:customStyle="1">
    <w:name w:val="Заголовок 6 Знак"/>
    <w:basedOn w:val="756"/>
    <w:link w:val="75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92" w:customStyle="1">
    <w:name w:val="Заголовок 7 Знак"/>
    <w:basedOn w:val="756"/>
    <w:link w:val="75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93" w:customStyle="1">
    <w:name w:val="Заголовок 8 Знак"/>
    <w:basedOn w:val="756"/>
    <w:link w:val="75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94" w:customStyle="1">
    <w:name w:val="Заголовок 9 Знак"/>
    <w:basedOn w:val="756"/>
    <w:link w:val="75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5">
    <w:name w:val="Title"/>
    <w:basedOn w:val="746"/>
    <w:next w:val="746"/>
    <w:link w:val="896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6" w:customStyle="1">
    <w:name w:val="Заголовок Знак"/>
    <w:basedOn w:val="756"/>
    <w:link w:val="89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7">
    <w:name w:val="Subtitle"/>
    <w:basedOn w:val="746"/>
    <w:next w:val="746"/>
    <w:link w:val="898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8" w:customStyle="1">
    <w:name w:val="Подзаголовок Знак"/>
    <w:basedOn w:val="756"/>
    <w:link w:val="897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9">
    <w:name w:val="Quote"/>
    <w:basedOn w:val="746"/>
    <w:next w:val="746"/>
    <w:link w:val="900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00" w:customStyle="1">
    <w:name w:val="Цитата 2 Знак"/>
    <w:basedOn w:val="756"/>
    <w:link w:val="899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901">
    <w:name w:val="Intense Emphasis"/>
    <w:basedOn w:val="756"/>
    <w:uiPriority w:val="21"/>
    <w:qFormat/>
    <w:pPr>
      <w:pBdr/>
      <w:spacing/>
      <w:ind/>
    </w:pPr>
    <w:rPr>
      <w:i/>
      <w:iCs/>
      <w:color w:val="2e74b5" w:themeColor="accent1" w:themeShade="BF"/>
    </w:rPr>
  </w:style>
  <w:style w:type="paragraph" w:styleId="902">
    <w:name w:val="Intense Quote"/>
    <w:basedOn w:val="746"/>
    <w:next w:val="746"/>
    <w:link w:val="903"/>
    <w:uiPriority w:val="30"/>
    <w:qFormat/>
    <w:pPr>
      <w:pBdr>
        <w:top w:val="single" w:color="2e74b5" w:themeColor="accent1" w:themeShade="BF" w:sz="4" w:space="10"/>
        <w:bottom w:val="single" w:color="2e74b5" w:themeColor="accent1" w:themeShade="BF" w:sz="4" w:space="10"/>
      </w:pBdr>
      <w:spacing w:after="360" w:before="360"/>
      <w:ind w:right="864" w:left="864"/>
      <w:jc w:val="center"/>
    </w:pPr>
    <w:rPr>
      <w:i/>
      <w:iCs/>
      <w:color w:val="2e74b5" w:themeColor="accent1" w:themeShade="BF"/>
    </w:rPr>
  </w:style>
  <w:style w:type="character" w:styleId="903" w:customStyle="1">
    <w:name w:val="Выделенная цитата Знак"/>
    <w:basedOn w:val="756"/>
    <w:link w:val="902"/>
    <w:uiPriority w:val="30"/>
    <w:pPr>
      <w:pBdr/>
      <w:spacing/>
      <w:ind/>
    </w:pPr>
    <w:rPr>
      <w:i/>
      <w:iCs/>
      <w:color w:val="2e74b5" w:themeColor="accent1" w:themeShade="BF"/>
    </w:rPr>
  </w:style>
  <w:style w:type="character" w:styleId="904">
    <w:name w:val="Intense Reference"/>
    <w:basedOn w:val="756"/>
    <w:uiPriority w:val="32"/>
    <w:qFormat/>
    <w:pPr>
      <w:pBdr/>
      <w:spacing/>
      <w:ind/>
    </w:pPr>
    <w:rPr>
      <w:b/>
      <w:bCs/>
      <w:smallCaps/>
      <w:color w:val="2e74b5" w:themeColor="accent1" w:themeShade="BF"/>
      <w:spacing w:val="5"/>
    </w:rPr>
  </w:style>
  <w:style w:type="paragraph" w:styleId="905">
    <w:name w:val="No Spacing"/>
    <w:basedOn w:val="746"/>
    <w:uiPriority w:val="1"/>
    <w:qFormat/>
    <w:pPr>
      <w:pBdr/>
      <w:spacing w:after="0" w:line="240" w:lineRule="auto"/>
      <w:ind/>
    </w:pPr>
  </w:style>
  <w:style w:type="character" w:styleId="906">
    <w:name w:val="Subtle Emphasis"/>
    <w:basedOn w:val="75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7">
    <w:name w:val="Emphasis"/>
    <w:basedOn w:val="756"/>
    <w:uiPriority w:val="20"/>
    <w:qFormat/>
    <w:pPr>
      <w:pBdr/>
      <w:spacing/>
      <w:ind/>
    </w:pPr>
    <w:rPr>
      <w:i/>
      <w:iCs/>
    </w:rPr>
  </w:style>
  <w:style w:type="character" w:styleId="908">
    <w:name w:val="Subtle Reference"/>
    <w:basedOn w:val="75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9">
    <w:name w:val="Book Title"/>
    <w:basedOn w:val="75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10" w:customStyle="1">
    <w:name w:val="Header Char"/>
    <w:basedOn w:val="756"/>
    <w:uiPriority w:val="99"/>
    <w:pPr>
      <w:pBdr/>
      <w:spacing/>
      <w:ind/>
    </w:pPr>
  </w:style>
  <w:style w:type="character" w:styleId="911" w:customStyle="1">
    <w:name w:val="Footer Char"/>
    <w:basedOn w:val="756"/>
    <w:uiPriority w:val="99"/>
    <w:pPr>
      <w:pBdr/>
      <w:spacing/>
      <w:ind/>
    </w:pPr>
  </w:style>
  <w:style w:type="paragraph" w:styleId="912">
    <w:name w:val="Caption"/>
    <w:basedOn w:val="746"/>
    <w:next w:val="746"/>
    <w:uiPriority w:val="35"/>
    <w:unhideWhenUsed/>
    <w:qFormat/>
    <w:pPr>
      <w:pBdr/>
      <w:spacing w:line="240" w:lineRule="auto"/>
      <w:ind/>
    </w:pPr>
    <w:rPr>
      <w:i/>
      <w:iCs/>
      <w:color w:val="44546a" w:themeColor="text2"/>
      <w:sz w:val="18"/>
      <w:szCs w:val="18"/>
    </w:rPr>
  </w:style>
  <w:style w:type="paragraph" w:styleId="913">
    <w:name w:val="footnote text"/>
    <w:basedOn w:val="746"/>
    <w:link w:val="91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4" w:customStyle="1">
    <w:name w:val="Текст сноски Знак"/>
    <w:basedOn w:val="756"/>
    <w:link w:val="913"/>
    <w:uiPriority w:val="99"/>
    <w:semiHidden/>
    <w:pPr>
      <w:pBdr/>
      <w:spacing/>
      <w:ind/>
    </w:pPr>
    <w:rPr>
      <w:sz w:val="20"/>
      <w:szCs w:val="20"/>
    </w:rPr>
  </w:style>
  <w:style w:type="character" w:styleId="915">
    <w:name w:val="footnote reference"/>
    <w:basedOn w:val="756"/>
    <w:uiPriority w:val="99"/>
    <w:semiHidden/>
    <w:unhideWhenUsed/>
    <w:pPr>
      <w:pBdr/>
      <w:spacing/>
      <w:ind/>
    </w:pPr>
    <w:rPr>
      <w:vertAlign w:val="superscript"/>
    </w:rPr>
  </w:style>
  <w:style w:type="paragraph" w:styleId="916">
    <w:name w:val="endnote text"/>
    <w:basedOn w:val="746"/>
    <w:link w:val="91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7" w:customStyle="1">
    <w:name w:val="Текст концевой сноски Знак"/>
    <w:basedOn w:val="756"/>
    <w:link w:val="916"/>
    <w:uiPriority w:val="99"/>
    <w:semiHidden/>
    <w:pPr>
      <w:pBdr/>
      <w:spacing/>
      <w:ind/>
    </w:pPr>
    <w:rPr>
      <w:sz w:val="20"/>
      <w:szCs w:val="20"/>
    </w:rPr>
  </w:style>
  <w:style w:type="character" w:styleId="918">
    <w:name w:val="endnote reference"/>
    <w:basedOn w:val="756"/>
    <w:uiPriority w:val="99"/>
    <w:semiHidden/>
    <w:unhideWhenUsed/>
    <w:pPr>
      <w:pBdr/>
      <w:spacing/>
      <w:ind/>
    </w:pPr>
    <w:rPr>
      <w:vertAlign w:val="superscript"/>
    </w:rPr>
  </w:style>
  <w:style w:type="character" w:styleId="919">
    <w:name w:val="FollowedHyperlink"/>
    <w:basedOn w:val="75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20">
    <w:name w:val="toc 1"/>
    <w:basedOn w:val="746"/>
    <w:next w:val="746"/>
    <w:uiPriority w:val="39"/>
    <w:unhideWhenUsed/>
    <w:pPr>
      <w:pBdr/>
      <w:spacing w:after="100"/>
      <w:ind/>
    </w:pPr>
  </w:style>
  <w:style w:type="paragraph" w:styleId="921">
    <w:name w:val="toc 2"/>
    <w:basedOn w:val="746"/>
    <w:next w:val="746"/>
    <w:uiPriority w:val="39"/>
    <w:unhideWhenUsed/>
    <w:pPr>
      <w:pBdr/>
      <w:spacing w:after="100"/>
      <w:ind w:left="220"/>
    </w:pPr>
  </w:style>
  <w:style w:type="paragraph" w:styleId="922">
    <w:name w:val="toc 3"/>
    <w:basedOn w:val="746"/>
    <w:next w:val="746"/>
    <w:uiPriority w:val="39"/>
    <w:unhideWhenUsed/>
    <w:pPr>
      <w:pBdr/>
      <w:spacing w:after="100"/>
      <w:ind w:left="440"/>
    </w:pPr>
  </w:style>
  <w:style w:type="paragraph" w:styleId="923">
    <w:name w:val="toc 4"/>
    <w:basedOn w:val="746"/>
    <w:next w:val="746"/>
    <w:uiPriority w:val="39"/>
    <w:unhideWhenUsed/>
    <w:pPr>
      <w:pBdr/>
      <w:spacing w:after="100"/>
      <w:ind w:left="660"/>
    </w:pPr>
  </w:style>
  <w:style w:type="paragraph" w:styleId="924">
    <w:name w:val="toc 5"/>
    <w:basedOn w:val="746"/>
    <w:next w:val="746"/>
    <w:uiPriority w:val="39"/>
    <w:unhideWhenUsed/>
    <w:pPr>
      <w:pBdr/>
      <w:spacing w:after="100"/>
      <w:ind w:left="880"/>
    </w:pPr>
  </w:style>
  <w:style w:type="paragraph" w:styleId="925">
    <w:name w:val="toc 6"/>
    <w:basedOn w:val="746"/>
    <w:next w:val="746"/>
    <w:uiPriority w:val="39"/>
    <w:unhideWhenUsed/>
    <w:pPr>
      <w:pBdr/>
      <w:spacing w:after="100"/>
      <w:ind w:left="1100"/>
    </w:pPr>
  </w:style>
  <w:style w:type="paragraph" w:styleId="926">
    <w:name w:val="toc 7"/>
    <w:basedOn w:val="746"/>
    <w:next w:val="746"/>
    <w:uiPriority w:val="39"/>
    <w:unhideWhenUsed/>
    <w:pPr>
      <w:pBdr/>
      <w:spacing w:after="100"/>
      <w:ind w:left="1320"/>
    </w:pPr>
  </w:style>
  <w:style w:type="paragraph" w:styleId="927">
    <w:name w:val="toc 8"/>
    <w:basedOn w:val="746"/>
    <w:next w:val="746"/>
    <w:uiPriority w:val="39"/>
    <w:unhideWhenUsed/>
    <w:pPr>
      <w:pBdr/>
      <w:spacing w:after="100"/>
      <w:ind w:left="1540"/>
    </w:pPr>
  </w:style>
  <w:style w:type="paragraph" w:styleId="928">
    <w:name w:val="toc 9"/>
    <w:basedOn w:val="746"/>
    <w:next w:val="746"/>
    <w:uiPriority w:val="39"/>
    <w:unhideWhenUsed/>
    <w:pPr>
      <w:pBdr/>
      <w:spacing w:after="100"/>
      <w:ind w:left="1760"/>
    </w:pPr>
  </w:style>
  <w:style w:type="paragraph" w:styleId="929">
    <w:name w:val="TOC Heading"/>
    <w:uiPriority w:val="39"/>
    <w:unhideWhenUsed/>
    <w:pPr>
      <w:pBdr/>
      <w:spacing/>
      <w:ind/>
    </w:pPr>
  </w:style>
  <w:style w:type="paragraph" w:styleId="930">
    <w:name w:val="table of figures"/>
    <w:basedOn w:val="746"/>
    <w:next w:val="746"/>
    <w:uiPriority w:val="99"/>
    <w:unhideWhenUsed/>
    <w:pPr>
      <w:pBdr/>
      <w:spacing w:after="0"/>
      <w:ind/>
    </w:pPr>
  </w:style>
  <w:style w:type="character" w:styleId="931">
    <w:name w:val="Hyperlink"/>
    <w:pPr>
      <w:pBdr/>
      <w:spacing/>
      <w:ind/>
    </w:pPr>
    <w:rPr>
      <w:color w:val="000080"/>
      <w:u w:val="single"/>
    </w:rPr>
  </w:style>
  <w:style w:type="paragraph" w:styleId="932">
    <w:name w:val="Header"/>
    <w:basedOn w:val="746"/>
    <w:link w:val="933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933" w:customStyle="1">
    <w:name w:val="Верхний колонтитул Знак"/>
    <w:basedOn w:val="756"/>
    <w:link w:val="932"/>
    <w:uiPriority w:val="99"/>
    <w:pPr>
      <w:pBdr/>
      <w:spacing/>
      <w:ind/>
    </w:pPr>
    <w:rPr>
      <w:rFonts w:ascii="Calibri" w:hAnsi="Calibri" w:eastAsia="Calibri" w:cs="Calibri"/>
      <w:lang w:eastAsia="ar-SA"/>
    </w:rPr>
  </w:style>
  <w:style w:type="paragraph" w:styleId="934">
    <w:name w:val="Footer"/>
    <w:basedOn w:val="746"/>
    <w:link w:val="935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935" w:customStyle="1">
    <w:name w:val="Нижний колонтитул Знак"/>
    <w:basedOn w:val="756"/>
    <w:link w:val="934"/>
    <w:uiPriority w:val="99"/>
    <w:pPr>
      <w:pBdr/>
      <w:spacing/>
      <w:ind/>
    </w:pPr>
    <w:rPr>
      <w:rFonts w:ascii="Calibri" w:hAnsi="Calibri" w:eastAsia="Calibri" w:cs="Calibri"/>
      <w:lang w:eastAsia="ar-SA"/>
    </w:rPr>
  </w:style>
  <w:style w:type="paragraph" w:styleId="936">
    <w:name w:val="Balloon Text"/>
    <w:basedOn w:val="746"/>
    <w:link w:val="937"/>
    <w:uiPriority w:val="99"/>
    <w:semiHidden/>
    <w:unhideWhenUsed/>
    <w:pPr>
      <w:pBdr/>
      <w:spacing w:after="0" w:line="240" w:lineRule="auto"/>
      <w:ind/>
    </w:pPr>
    <w:rPr>
      <w:rFonts w:ascii="Segoe UI" w:hAnsi="Segoe UI" w:cs="Segoe UI"/>
      <w:sz w:val="18"/>
      <w:szCs w:val="18"/>
    </w:rPr>
  </w:style>
  <w:style w:type="character" w:styleId="937" w:customStyle="1">
    <w:name w:val="Текст выноски Знак"/>
    <w:basedOn w:val="756"/>
    <w:link w:val="936"/>
    <w:uiPriority w:val="99"/>
    <w:semiHidden/>
    <w:pPr>
      <w:pBdr/>
      <w:spacing/>
      <w:ind/>
    </w:pPr>
    <w:rPr>
      <w:rFonts w:ascii="Segoe UI" w:hAnsi="Segoe UI" w:eastAsia="Calibri" w:cs="Segoe UI"/>
      <w:sz w:val="18"/>
      <w:szCs w:val="18"/>
      <w:lang w:eastAsia="ar-SA"/>
    </w:rPr>
  </w:style>
  <w:style w:type="paragraph" w:styleId="938">
    <w:name w:val="List Paragraph"/>
    <w:basedOn w:val="746"/>
    <w:uiPriority w:val="34"/>
    <w:qFormat/>
    <w:pPr>
      <w:pBdr/>
      <w:spacing/>
      <w:ind w:left="720"/>
      <w:contextualSpacing w:val="true"/>
    </w:pPr>
  </w:style>
  <w:style w:type="character" w:styleId="939">
    <w:name w:val="Strong"/>
    <w:basedOn w:val="756"/>
    <w:uiPriority w:val="22"/>
    <w:qFormat/>
    <w:pPr>
      <w:pBdr/>
      <w:spacing/>
      <w:ind/>
    </w:pPr>
    <w:rPr>
      <w:b/>
      <w:bCs/>
    </w:rPr>
  </w:style>
  <w:style w:type="paragraph" w:styleId="940" w:customStyle="1">
    <w:name w:val="futurismarkdown-paragraph"/>
    <w:basedOn w:val="746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41" w:customStyle="1">
    <w:name w:val="Обычный (веб)1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100" w:afterAutospacing="1" w:before="100" w:beforeAutospacing="1" w:line="240" w:lineRule="auto"/>
      <w:ind/>
    </w:pPr>
    <w:rPr>
      <w:rFonts w:ascii="Times New Roman" w:hAnsi="Times New Roman" w:eastAsia="SimSun" w:cs="Times New Roman"/>
      <w:sz w:val="24"/>
      <w:szCs w:val="24"/>
      <w:lang w:val="en-US" w:eastAsia="zh-C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media1.svg"/><Relationship Id="rId13" Type="http://schemas.openxmlformats.org/officeDocument/2006/relationships/hyperlink" Target="http://www.xumuk.ru/encyklopedia/271.html" TargetMode="External"/><Relationship Id="rId14" Type="http://schemas.openxmlformats.org/officeDocument/2006/relationships/hyperlink" Target="http://www.xumuk.ru/encyklopedia/786.html" TargetMode="External"/><Relationship Id="rId15" Type="http://schemas.openxmlformats.org/officeDocument/2006/relationships/hyperlink" Target="http://www.xumuk.ru/bse/173.html" TargetMode="External"/><Relationship Id="rId16" Type="http://schemas.openxmlformats.org/officeDocument/2006/relationships/hyperlink" Target="http://www.xumuk.ru/bse/173.html" TargetMode="External"/><Relationship Id="rId17" Type="http://schemas.openxmlformats.org/officeDocument/2006/relationships/hyperlink" Target="http://www.xumuk.ru/encyklopedia/786.html" TargetMode="External"/><Relationship Id="rId18" Type="http://schemas.openxmlformats.org/officeDocument/2006/relationships/image" Target="media/image2.jpg"/><Relationship Id="rId19" Type="http://schemas.openxmlformats.org/officeDocument/2006/relationships/image" Target="media/image3.jpg"/><Relationship Id="rId20" Type="http://schemas.openxmlformats.org/officeDocument/2006/relationships/image" Target="media/image4.jpg"/><Relationship Id="rId21" Type="http://schemas.openxmlformats.org/officeDocument/2006/relationships/image" Target="media/image5.jpg"/><Relationship Id="rId22" Type="http://schemas.openxmlformats.org/officeDocument/2006/relationships/image" Target="media/image6.jpg"/><Relationship Id="rId23" Type="http://schemas.openxmlformats.org/officeDocument/2006/relationships/image" Target="media/image7.jpg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9D6C2-DA7E-4D75-9F55-B5C59544B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revision>17</cp:revision>
  <dcterms:created xsi:type="dcterms:W3CDTF">2025-01-28T19:41:00Z</dcterms:created>
  <dcterms:modified xsi:type="dcterms:W3CDTF">2025-11-19T15:29:42Z</dcterms:modified>
</cp:coreProperties>
</file>