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/colors1.xml" ContentType="application/vnd.ms-office.chartcolorstyle+xml"/>
  <Override PartName="/word/charts/chart/colors2.xml" ContentType="application/vnd.ms-office.chartcolorstyle+xml"/>
  <Override PartName="/word/charts/chart/style1.xml" ContentType="application/vnd.ms-office.chartstyle+xml"/>
  <Override PartName="/word/charts/chart/style2.xml" ContentType="application/vnd.ms-office.chartsty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embeddings/Microsoft_Excel_Worksheet2.xlsx" ContentType="application/vnd.openxmlformats-officedocument.spreadsheetml.sheet"/>
  <Override PartName="/word/embeddings/Microsoft_Excel_Worksheet3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6801DE" w:rsidRPr="006801DE" w:rsidP="006801D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801D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Муниципальное бюджетное образовательное учреждение </w:t>
      </w:r>
    </w:p>
    <w:p w:rsidR="006801DE" w:rsidRPr="006801DE" w:rsidP="006801D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801D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дополнительного образования «Центр естественных наук» </w:t>
      </w:r>
    </w:p>
    <w:p w:rsidR="006801DE" w:rsidRPr="006801DE" w:rsidP="006801D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01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(МБОУ ДО «ЦЕН»)</w:t>
      </w: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6801D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Ямало-Ненецкий автономный округ </w:t>
      </w:r>
      <w:r w:rsidRPr="006801D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г.Тарко</w:t>
      </w:r>
      <w:r w:rsidRPr="006801D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-Сале</w:t>
      </w:r>
    </w:p>
    <w:p w:rsidR="006801DE" w:rsidRPr="006801DE" w:rsidP="006801DE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</w:pPr>
    </w:p>
    <w:p w:rsidR="006801DE" w:rsidRPr="006801DE" w:rsidP="006801DE">
      <w:pPr>
        <w:spacing w:after="0" w:line="240" w:lineRule="auto"/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</w:pPr>
    </w:p>
    <w:p w:rsidR="006801DE" w:rsidRPr="006801DE" w:rsidP="006801DE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</w:pPr>
      <w:r w:rsidRPr="006801DE"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  <w:t>Всероссийск</w:t>
      </w:r>
      <w:r w:rsidR="00CA384E"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  <w:t>ий</w:t>
      </w:r>
      <w:r w:rsidRPr="006801DE"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  <w:t xml:space="preserve"> конкурс</w:t>
      </w:r>
    </w:p>
    <w:p w:rsidR="006801DE" w:rsidRPr="006801DE" w:rsidP="006801DE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</w:pPr>
      <w:r w:rsidRPr="006801DE"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  <w:t>юных исследователей окружающей среды им</w:t>
      </w:r>
      <w:r w:rsidR="00E836DB"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  <w:t>ени</w:t>
      </w:r>
      <w:r w:rsidRPr="006801DE"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  <w:t xml:space="preserve"> Б.В. Всесвятского  </w:t>
      </w:r>
    </w:p>
    <w:p w:rsidR="006801DE" w:rsidRPr="006801DE" w:rsidP="006801DE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shd w:val="clear" w:color="auto" w:fill="FFFFFF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highlight w:val="white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b/>
          <w:bCs/>
          <w:sz w:val="28"/>
          <w:szCs w:val="28"/>
          <w:highlight w:val="white"/>
        </w:rPr>
        <w:t>Номинация «Ботаника и экология растений»</w:t>
      </w: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highlight w:val="white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highlight w:val="white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highlight w:val="white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highlight w:val="white"/>
        </w:rPr>
      </w:pPr>
    </w:p>
    <w:p w:rsidR="004A194B" w:rsidRPr="006801DE" w:rsidP="006801DE">
      <w:pPr>
        <w:spacing w:after="0" w:line="240" w:lineRule="auto"/>
        <w:ind w:right="-1"/>
        <w:jc w:val="center"/>
        <w:rPr>
          <w:rFonts w:ascii="Times New Roman" w:eastAsia="Liberation Sans" w:hAnsi="Times New Roman" w:cs="Times New Roman"/>
          <w:b/>
          <w:bCs/>
          <w:sz w:val="32"/>
          <w:szCs w:val="32"/>
        </w:rPr>
      </w:pPr>
      <w:r w:rsidRPr="006801DE">
        <w:rPr>
          <w:rFonts w:ascii="Times New Roman" w:eastAsia="Liberation Sans" w:hAnsi="Times New Roman" w:cs="Times New Roman"/>
          <w:b/>
          <w:bCs/>
          <w:sz w:val="32"/>
          <w:szCs w:val="32"/>
          <w:highlight w:val="white"/>
        </w:rPr>
        <w:t xml:space="preserve">Исследование свойств </w:t>
      </w:r>
      <w:r w:rsidRPr="006801DE">
        <w:rPr>
          <w:rFonts w:ascii="Times New Roman" w:eastAsia="Liberation Sans" w:hAnsi="Times New Roman" w:cs="Times New Roman"/>
          <w:b/>
          <w:bCs/>
          <w:sz w:val="32"/>
          <w:szCs w:val="32"/>
        </w:rPr>
        <w:t>кипрея узколистного и его настоев в зависимости от региона произрастания и способа обработки растительного сырья</w:t>
      </w:r>
    </w:p>
    <w:p w:rsidR="004A194B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801DE" w:rsidRPr="006801DE" w:rsidP="006801D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Автор: Ощепкова Василиса Андреевна, 13 лет, </w:t>
      </w: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объединение «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>Элементарная химия»</w:t>
      </w:r>
    </w:p>
    <w:p w:rsidR="004A194B" w:rsidRPr="006801DE" w:rsidP="00680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МБОУ ДО «ЦЕН»</w:t>
      </w: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Руководитель: Виноградова Роза 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>Айратовна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, </w:t>
      </w: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педагог дополнительного образования,</w:t>
      </w:r>
    </w:p>
    <w:p w:rsidR="004A194B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 МБОУ ДО «ЦЕН»</w:t>
      </w: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RPr="006801DE" w:rsidP="006801DE">
      <w:pPr>
        <w:spacing w:after="0" w:line="240" w:lineRule="auto"/>
        <w:jc w:val="right"/>
        <w:rPr>
          <w:rFonts w:ascii="Times New Roman" w:eastAsia="Liberation Sans" w:hAnsi="Times New Roman" w:cs="Times New Roman"/>
          <w:sz w:val="28"/>
          <w:szCs w:val="28"/>
        </w:rPr>
      </w:pPr>
    </w:p>
    <w:p w:rsidR="006801DE" w:rsidP="006801DE">
      <w:pPr>
        <w:spacing w:after="0" w:line="240" w:lineRule="auto"/>
        <w:jc w:val="center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2025г</w:t>
      </w:r>
    </w:p>
    <w:sdt>
      <w:sdtPr>
        <w:id w:val="21040711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70858" w:rsidRPr="000956A9" w:rsidP="000956A9">
          <w:pPr>
            <w:pStyle w:val="TOCHead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956A9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570858" w:rsidRPr="000956A9">
          <w:pPr>
            <w:pStyle w:val="TOC1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 w:rsidRPr="000956A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956A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"_Toc212831334"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</w:rPr>
            <w:t>Введение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_Toc212831334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2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1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"_Toc212831335" </w:instrText>
          </w:r>
          <w:r>
            <w:fldChar w:fldCharType="separate"/>
          </w:r>
          <w:r w:rsidRPr="000956A9">
            <w:rPr>
              <w:rStyle w:val="Hyperlink"/>
              <w:rFonts w:ascii="Times New Roman" w:eastAsia="Liberation Sans" w:hAnsi="Times New Roman" w:cs="Times New Roman"/>
              <w:noProof/>
              <w:sz w:val="28"/>
              <w:szCs w:val="28"/>
              <w:highlight w:val="white"/>
            </w:rPr>
            <w:t xml:space="preserve">1. </w:t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  <w:highlight w:val="white"/>
            </w:rPr>
            <w:t>Теоретическая часть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_Toc212831335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2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2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"_Toc212831336"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  <w:highlight w:val="white"/>
            </w:rPr>
            <w:t>1.1 Состав и свойства Иван-чая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_Toc212831336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2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2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"_Toc212831337"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  <w:highlight w:val="white"/>
            </w:rPr>
            <w:t>1.2 Способы обработки иван-чая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_Toc212831337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3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1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"_Toc212831338"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</w:rPr>
            <w:t>2. Экспериментальная часть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_Toc212831338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4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2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"_Toc212831339"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</w:rPr>
            <w:t>2.1 Сбор и обработка растительного сырья иван-чая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_Toc212831339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4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2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"_Toc212831340"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</w:rPr>
            <w:t>2.2 Органолептические свойства настоев «Иван-чая»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_Toc212831340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6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2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"_Toc212831341"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</w:rPr>
            <w:t>2.3 Химические свойства настоев иван-чая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_Toc212831341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7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1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"_Toc212831342"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</w:rPr>
            <w:t>Заключение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_Toc212831342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9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1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"_Toc212831343"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</w:rPr>
            <w:t>Список использованных источников и литературы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_Toc212831343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12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 w:rsidRPr="000956A9">
          <w:pPr>
            <w:pStyle w:val="TOC1"/>
            <w:tabs>
              <w:tab w:val="right" w:leader="dot" w:pos="10195"/>
            </w:tabs>
            <w:rPr>
              <w:rFonts w:ascii="Times New Roman" w:hAnsi="Times New Roman" w:eastAsiaTheme="minorEastAsia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HYPERLINK \l "_Toc212831344" </w:instrText>
          </w:r>
          <w:r>
            <w:fldChar w:fldCharType="separate"/>
          </w:r>
          <w:r w:rsidRPr="000956A9">
            <w:rPr>
              <w:rStyle w:val="Hyperlink"/>
              <w:rFonts w:ascii="Times New Roman" w:hAnsi="Times New Roman" w:cs="Times New Roman"/>
              <w:noProof/>
              <w:sz w:val="28"/>
              <w:szCs w:val="28"/>
            </w:rPr>
            <w:t>Приложение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begin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instrText xml:space="preserve"> PAGEREF _Toc212831344 \h </w:instrTex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separate"/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>13</w:t>
          </w:r>
          <w:r w:rsidRPr="000956A9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fldChar w:fldCharType="end"/>
          </w:r>
          <w:r>
            <w:fldChar w:fldCharType="end"/>
          </w:r>
        </w:p>
        <w:p w:rsidR="00570858">
          <w:r w:rsidRPr="000956A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9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194B" w:rsidRPr="006801DE" w:rsidP="006801DE">
      <w:pPr>
        <w:pStyle w:val="Heading1"/>
      </w:pPr>
      <w:bookmarkStart w:id="0" w:name="_Toc212831334"/>
      <w:r w:rsidRPr="006801DE">
        <w:t>Введение</w:t>
      </w:r>
      <w:bookmarkEnd w:id="0"/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Актуальность работы. 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  <w:highlight w:val="white"/>
        </w:rPr>
        <w:t>В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 xml:space="preserve"> настоящее время все больше людей выбирают «правильное питание» как важный фактор укрепления здоровья. В связи с этим особую актуальность приобретает использование доступного и широко распространенного растительного сырья, произрастающего на территории нашей страны как важного источника ингредиентов, которые эффективно усваиваются организмом на физиологическом уровне. В этом плане большой интерес представляют растения родного края для создания продуктов здорового питания</w:t>
      </w:r>
      <w:r w:rsidR="004B120F">
        <w:rPr>
          <w:rFonts w:ascii="Times New Roman" w:eastAsia="Liberation Sans" w:hAnsi="Times New Roman" w:cs="Times New Roman"/>
          <w:color w:val="1A1A1A"/>
          <w:sz w:val="28"/>
          <w:szCs w:val="28"/>
        </w:rPr>
        <w:t>, например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 xml:space="preserve"> чайных напитков. К таким растениям относится и кипрей узколистный или «иван-чай».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Новизна работы: проведено исследование физико-химических свойств настоев иван-чая, собранного в двух разных регионах России, в том числе в Ямало-Ненецком автономном округе в окрестностях города Тарко-Сале.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Гипотеза исследования:</w:t>
      </w:r>
      <w:r w:rsidRPr="006801DE">
        <w:rPr>
          <w:rFonts w:ascii="Times New Roman" w:eastAsia="Liberation Sans" w:hAnsi="Times New Roman" w:cs="Times New Roman"/>
          <w:color w:val="FF0000"/>
          <w:sz w:val="28"/>
          <w:szCs w:val="28"/>
        </w:rPr>
        <w:t xml:space="preserve"> 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вкус и свойств</w:t>
      </w:r>
      <w:r w:rsidRPr="006801DE" w:rsidR="001F0319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а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напитка завис</w:t>
      </w:r>
      <w:r w:rsidRPr="006801DE" w:rsidR="001F0319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я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т от региона произрастания кипрея узколистного и от способа обработки сырья.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Цель работы – исследование зависимости физико-химических свойств настоев иван-чая от региона произрастания и способа обработки исходного сырья.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Задачи:</w:t>
      </w:r>
    </w:p>
    <w:p w:rsidR="004A194B" w:rsidRPr="006801DE" w:rsidP="006801DE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изучить свойства растения «иван-чай», области его применения и способы обработки сырья для приготовления чайного напитка;</w:t>
      </w:r>
    </w:p>
    <w:p w:rsidR="004A194B" w:rsidRPr="006801DE" w:rsidP="006801DE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о</w:t>
      </w:r>
      <w:r w:rsidRPr="006801DE" w:rsidR="00985F13">
        <w:rPr>
          <w:rFonts w:ascii="Times New Roman" w:eastAsia="Liberation Sans" w:hAnsi="Times New Roman" w:cs="Times New Roman"/>
          <w:sz w:val="28"/>
          <w:szCs w:val="28"/>
        </w:rPr>
        <w:t>своить методы сбора и обработки сырья;</w:t>
      </w:r>
    </w:p>
    <w:p w:rsidR="004A194B" w:rsidRPr="006801DE" w:rsidP="006801DE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исследовать органолептические свойства обработанного растительного сырья и провести сравнительный анализ данных;</w:t>
      </w:r>
    </w:p>
    <w:p w:rsidR="004A194B" w:rsidRPr="006801DE" w:rsidP="006801DE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определить органолептические свойства напитков из иван-чая и провести сравнительный анализ данных;</w:t>
      </w:r>
    </w:p>
    <w:p w:rsidR="004A194B" w:rsidRPr="006801DE" w:rsidP="006801DE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определить химические свойства напитков и провести сравнительный анализ; </w:t>
      </w:r>
    </w:p>
    <w:p w:rsidR="004A194B" w:rsidRPr="006801DE" w:rsidP="00B177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Объекты анализа: растительные сборы и настои «иван-чая».</w:t>
      </w:r>
    </w:p>
    <w:p w:rsidR="004A194B" w:rsidRPr="006801DE" w:rsidP="00B177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Предмет исследования: органолептические и физико-химические свойства растительного сырья и настоев «иван-чая».</w:t>
      </w:r>
    </w:p>
    <w:p w:rsidR="004A194B" w:rsidRPr="006801DE" w:rsidP="00B177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Практическая значимость: полученные данные </w:t>
      </w:r>
      <w:r w:rsidR="004B120F">
        <w:rPr>
          <w:rFonts w:ascii="Times New Roman" w:eastAsia="Liberation Sans" w:hAnsi="Times New Roman" w:cs="Times New Roman"/>
          <w:sz w:val="28"/>
          <w:szCs w:val="28"/>
        </w:rPr>
        <w:t xml:space="preserve">позволят разобраться в </w:t>
      </w:r>
      <w:r w:rsidR="004B120F">
        <w:rPr>
          <w:rFonts w:ascii="Times New Roman" w:eastAsia="Liberation Sans" w:hAnsi="Times New Roman" w:cs="Times New Roman"/>
          <w:sz w:val="28"/>
          <w:szCs w:val="28"/>
        </w:rPr>
        <w:t>том</w:t>
      </w:r>
      <w:r w:rsidR="004B120F">
        <w:rPr>
          <w:rFonts w:ascii="Times New Roman" w:eastAsia="Liberation Sans" w:hAnsi="Times New Roman" w:cs="Times New Roman"/>
          <w:sz w:val="28"/>
          <w:szCs w:val="28"/>
        </w:rPr>
        <w:t xml:space="preserve"> как влияет способ обработки сырья на вкус чая и 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использовать </w:t>
      </w:r>
      <w:r w:rsidR="004B120F">
        <w:rPr>
          <w:rFonts w:ascii="Times New Roman" w:eastAsia="Liberation Sans" w:hAnsi="Times New Roman" w:cs="Times New Roman"/>
          <w:sz w:val="28"/>
          <w:szCs w:val="28"/>
        </w:rPr>
        <w:t xml:space="preserve">эти знания 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>для приготовления и употребления витаминных настоев из «иван-чая»</w:t>
      </w:r>
      <w:r w:rsidR="004B120F">
        <w:rPr>
          <w:rFonts w:ascii="Times New Roman" w:eastAsia="Liberation Sans" w:hAnsi="Times New Roman" w:cs="Times New Roman"/>
          <w:sz w:val="28"/>
          <w:szCs w:val="28"/>
        </w:rPr>
        <w:t xml:space="preserve"> по своему вкусу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. </w:t>
      </w:r>
    </w:p>
    <w:p w:rsidR="00B177E1" w:rsidRPr="005C11BC" w:rsidP="00B1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BC">
        <w:rPr>
          <w:rFonts w:ascii="Times New Roman" w:hAnsi="Times New Roman" w:cs="Times New Roman"/>
          <w:sz w:val="28"/>
          <w:szCs w:val="28"/>
        </w:rPr>
        <w:t>Исследования проводились на базе лаборатории химико-технического творчества МБОУ ДО «ЦЕН» с соблюдением всех требований безопасности, после инструктажа</w:t>
      </w:r>
      <w:r w:rsidR="005F6E99">
        <w:rPr>
          <w:rFonts w:ascii="Times New Roman" w:hAnsi="Times New Roman" w:cs="Times New Roman"/>
          <w:sz w:val="28"/>
          <w:szCs w:val="28"/>
        </w:rPr>
        <w:t xml:space="preserve"> в период с июня 2024 года по февраль 2025 года</w:t>
      </w:r>
      <w:r w:rsidRPr="005C11B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A194B" w:rsidRPr="006801DE" w:rsidP="006801D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7228BF" w:rsidP="006801DE">
      <w:pPr>
        <w:pStyle w:val="Heading1"/>
        <w:spacing w:before="0" w:line="240" w:lineRule="auto"/>
        <w:rPr>
          <w:highlight w:val="white"/>
        </w:rPr>
      </w:pPr>
      <w:bookmarkStart w:id="1" w:name="_Toc212831335"/>
      <w:r w:rsidRPr="006801DE">
        <w:rPr>
          <w:rFonts w:eastAsia="Liberation Sans" w:cs="Times New Roman"/>
          <w:sz w:val="28"/>
          <w:szCs w:val="28"/>
          <w:highlight w:val="white"/>
        </w:rPr>
        <w:t xml:space="preserve">1. </w:t>
      </w:r>
      <w:r w:rsidRPr="007228BF">
        <w:rPr>
          <w:highlight w:val="white"/>
        </w:rPr>
        <w:t>Теоретическая часть</w:t>
      </w:r>
      <w:bookmarkEnd w:id="1"/>
    </w:p>
    <w:p w:rsidR="004A194B" w:rsidRPr="007228BF" w:rsidP="007228BF">
      <w:pPr>
        <w:pStyle w:val="Heading2"/>
        <w:rPr>
          <w:highlight w:val="white"/>
        </w:rPr>
      </w:pPr>
      <w:bookmarkStart w:id="2" w:name="_Toc212831336"/>
      <w:r>
        <w:rPr>
          <w:highlight w:val="white"/>
        </w:rPr>
        <w:t xml:space="preserve">1.1 </w:t>
      </w:r>
      <w:r w:rsidRPr="007228BF" w:rsidR="00985F13">
        <w:rPr>
          <w:highlight w:val="white"/>
        </w:rPr>
        <w:t>Состав и свойства Иван-чая</w:t>
      </w:r>
      <w:bookmarkEnd w:id="2"/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>Одним из популярных растений для здорового питания является кипрей узколистный (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>Chamaenerion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 xml:space="preserve"> 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>angustifolium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 xml:space="preserve"> L.), или иван-чай, что обусловлено широким терапевтическим применением его экстрактов. В народе это растение называют кипрей, плакун, 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>скрыпник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 xml:space="preserve">, копорский чай, хлебница, 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>мельничник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 xml:space="preserve">, 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>дремуха</w:t>
      </w:r>
      <w:r w:rsidRPr="006801DE">
        <w:rPr>
          <w:rFonts w:ascii="Times New Roman" w:eastAsia="Liberation Sans" w:hAnsi="Times New Roman" w:cs="Times New Roman"/>
          <w:color w:val="1A1A1A"/>
          <w:sz w:val="28"/>
          <w:szCs w:val="28"/>
        </w:rPr>
        <w:t>, маточник, ива-трава и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>т.д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 (прил. 1, рис. 1). 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Польза иван-чая и его активное применение в народной медицине обусловлено богатым химическим составом молодых побегов и листьев. В них содержится:</w:t>
      </w:r>
    </w:p>
    <w:p w:rsidR="004A194B" w:rsidRPr="006801DE" w:rsidP="006801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10–20 % танинов и других дубильных веществ;</w:t>
      </w:r>
    </w:p>
    <w:p w:rsidR="004A194B" w:rsidRPr="006801DE" w:rsidP="006801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15–20 % аминокислот и пептидов;</w:t>
      </w:r>
    </w:p>
    <w:p w:rsidR="004A194B" w:rsidRPr="006801DE" w:rsidP="006801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До 15 % слизей;</w:t>
      </w:r>
    </w:p>
    <w:p w:rsidR="004A194B" w:rsidRPr="006801DE" w:rsidP="006801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витамины А, С, группы В, при этом в свежих побегах кипрея аскорбиновой кислоты в шесть раз больше, чем в лимоне;</w:t>
      </w:r>
    </w:p>
    <w:p w:rsidR="004A194B" w:rsidRPr="006801DE" w:rsidP="006801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калий, кальций, магний, железо, марганец, медь, цинк;</w:t>
      </w:r>
    </w:p>
    <w:p w:rsidR="004A194B" w:rsidRPr="006801DE" w:rsidP="006801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флавоноиды и фитостеролы.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В традиционной медицине чай из кипрея узколистного применяется в области психотерапии и неврологии: в лечении неврозов, истерии, панических атак и депрессивных состояний. При этом иван-чай не вызывает сонливости и прочих побочных эффектов, характерных для успокоительных средств.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В народной медицине свойства кипрея используются гораздо шире. Его рекомендуют как общеукрепляющее средство в период простуд, а также для лечения и профилактики следующих патологий и состояний:</w:t>
      </w:r>
    </w:p>
    <w:p w:rsidR="004A194B" w:rsidRPr="006801DE" w:rsidP="006801D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Слизи и дубильные вещества обволакивают слизистые и снижают кислотность желудочного сока, что способствует снятию болей, заживлению тканей.</w:t>
      </w:r>
    </w:p>
    <w:p w:rsidR="004A194B" w:rsidRPr="006801DE" w:rsidP="006801D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Дерматит, экзема и псориаз. При наружном применении примочки с иван-чаем подсушивают очаги поражения, а содержащиеся в настое дубильные вещества, витамины и минералы способствуют быстрому заживлению.</w:t>
      </w:r>
    </w:p>
    <w:p w:rsidR="004A194B" w:rsidRPr="006801DE" w:rsidP="006801D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Анемия. Кипрей богат железом и медью, особенно рекомендован в период восстановления после операций и травм, связанных с потерей крови.</w:t>
      </w:r>
    </w:p>
    <w:p w:rsidR="004A194B" w:rsidRPr="006801DE" w:rsidP="006801D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Кипрей обладает желчегонным действием, способствует очищению печени от токсинов.</w:t>
      </w:r>
    </w:p>
    <w:p w:rsidR="004A194B" w:rsidRPr="006801DE" w:rsidP="006801D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Входящие в состав иван-чая фитостеролы обладают спазмолитическим действием, нормализуют тонус сосудов, что уменьшает боль и другую симптоматику при головных болях.</w:t>
      </w:r>
    </w:p>
    <w:p w:rsidR="004A194B" w:rsidRPr="006801DE" w:rsidP="006801D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</w:pBd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Воспалительные заболевания. Дубильные вещества обладают антисептическим, вяжущим, регенеративным, противоотечным действиями. Антиоксиданты и лектины усиливают иммунные реакции 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lang w:val="en-US"/>
        </w:rPr>
        <w:t>[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1-2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lang w:val="en-US"/>
        </w:rPr>
        <w:t>]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tabs>
          <w:tab w:val="left" w:pos="709"/>
        </w:tabs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194B" w:rsidRPr="007228BF" w:rsidP="007228BF">
      <w:pPr>
        <w:pStyle w:val="Heading2"/>
        <w:rPr>
          <w:highlight w:val="white"/>
        </w:rPr>
      </w:pPr>
      <w:bookmarkStart w:id="3" w:name="_Toc212831337"/>
      <w:r w:rsidRPr="007228BF">
        <w:rPr>
          <w:highlight w:val="white"/>
        </w:rPr>
        <w:t>1.2 Способы обработки иван-чая</w:t>
      </w:r>
      <w:bookmarkEnd w:id="3"/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ind w:firstLine="708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Один способов обработки иван-чая включает сбор, сушку и заваривание кипятком молодых побегов и листьев. В этом случае получается настой с приятным травяным ароматом [1]. 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Второй способ. Для того чтобы приготовить полноценный чай, сырьё нужно подвергнуть процессу ферментации — так готовят и традиционный китайский улун, и индийский напиток со слоном, и российский иван-чай. Суть процесса — запустить брожение веществ, входящих в состав растения.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Этапы ферментации:</w:t>
      </w:r>
    </w:p>
    <w:p w:rsidR="004A194B" w:rsidRPr="006801DE" w:rsidP="006801D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Траву собирают и подсушивают в тени.</w:t>
      </w:r>
    </w:p>
    <w:p w:rsidR="004A194B" w:rsidRPr="006801DE" w:rsidP="006801D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Измельчают с помощью мясорубки или ножа.</w:t>
      </w:r>
    </w:p>
    <w:p w:rsidR="004A194B" w:rsidRPr="006801DE" w:rsidP="006801D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Сырьё плотно укладывают в картонные коробки или эмалированную посуду.</w:t>
      </w:r>
    </w:p>
    <w:p w:rsidR="004A194B" w:rsidRPr="006801DE" w:rsidP="006801D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Ёмкость накрывают хлопковой тканью и оставляют на сутки для получения напитка с лёгкой кислинкой. Для глубокой ферментации выдержка может достигать 3 дней.</w:t>
      </w:r>
    </w:p>
    <w:p w:rsidR="004A194B" w:rsidRPr="006801DE" w:rsidP="006801D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Завершающий этап — сушка сырья в специальных машинах или духовке при температуре +70…+80 °C.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Ферментированные листья иван-чая обретают вкус и аромат, схожий с традиционным напитком. При этом антиоксиданты и полифенолы в таком сырье имеют большую биологическую доступность в сравнении с обычной высушенной травой [3-4].</w:t>
      </w:r>
    </w:p>
    <w:p w:rsidR="004A194B" w:rsidRPr="007228BF" w:rsidP="007228BF">
      <w:pPr>
        <w:pStyle w:val="Heading1"/>
      </w:pPr>
      <w:bookmarkStart w:id="4" w:name="_Toc212831338"/>
      <w:r w:rsidRPr="007228BF">
        <w:t xml:space="preserve">2. </w:t>
      </w:r>
      <w:r w:rsidRPr="007228BF" w:rsidR="00985F13">
        <w:t>Экспериментальная часть</w:t>
      </w:r>
      <w:bookmarkEnd w:id="4"/>
    </w:p>
    <w:p w:rsidR="004A194B" w:rsidRPr="007228BF" w:rsidP="007228BF">
      <w:pPr>
        <w:pStyle w:val="Heading2"/>
      </w:pPr>
      <w:bookmarkStart w:id="5" w:name="_Toc212831339"/>
      <w:r w:rsidRPr="007228BF">
        <w:t xml:space="preserve">2.1 </w:t>
      </w:r>
      <w:r w:rsidRPr="007228BF" w:rsidR="00985F13">
        <w:t>Сбор и обработка растительного сырья иван-чая</w:t>
      </w:r>
      <w:bookmarkEnd w:id="5"/>
    </w:p>
    <w:p w:rsidR="004A194B" w:rsidRPr="006801DE" w:rsidP="006801DE">
      <w:pPr>
        <w:spacing w:after="0" w:line="240" w:lineRule="auto"/>
        <w:ind w:firstLine="720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Собирать иван-чай необходимо ещё до цветения — в разных регионах России это делают в разное время: в средней полосе начиная с мая по июль, в нашем регионе (ЯНАО, Пуровский район) с июля по август. К началу периода сбора растение накапливает большое количество полезных веществ. Однако сбор не прекращают до конца августа — только с появлением пушистых семян кипрей утрачивает свои целебные свойства.</w:t>
      </w:r>
    </w:p>
    <w:p w:rsidR="004A194B" w:rsidRPr="006801DE" w:rsidP="006801DE">
      <w:pPr>
        <w:spacing w:after="0" w:line="240" w:lineRule="auto"/>
        <w:ind w:firstLine="720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Образцы растительного сырья были собраны в двух разных регионах:</w:t>
      </w:r>
    </w:p>
    <w:p w:rsidR="004A194B" w:rsidRPr="006801DE" w:rsidP="006801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Республика Башкортостан, окрестности г. Туймазы и 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г.Бирск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(лесная местность).</w:t>
      </w:r>
    </w:p>
    <w:p w:rsidR="004A194B" w:rsidRPr="006801DE" w:rsidP="006801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ЯНАО, окрестности 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г.Тарко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-Сале.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Приготовление чая включает несколько этапов.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u w:val="single"/>
        </w:rPr>
        <w:t>Сбор листьев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. У растения снимается до 2/3 листьев, 1/3 листьев снизу оставляют. Для этого одной рукой нужно держать цветочную кисть, а другой скользить по стеблю, снимая листья.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u w:val="single"/>
        </w:rPr>
        <w:t>Завяливание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u w:val="single"/>
        </w:rPr>
        <w:t xml:space="preserve"> листьев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. Собранные листья раскладываются слоем 3 см. Листья периодически необходимо ворошить. Готовность листьев определяется при сжимании их в ладошке, при этом они не должны распрямляться.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u w:val="single"/>
        </w:rPr>
        <w:t>Подготовка к ферментации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. На данном этапе нужно разрушить структуру клеток листьев до выделения из них сока. Можно воспользоваться скручиванием листьев, но для получения гранулированного чая обычно используют мясорубку.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u w:val="single"/>
        </w:rPr>
        <w:t>Ферментация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. В небольшие ёмкости непрозрачные емкости нужно плотно уложить зелёную массу. Сверху накрыть влажной тканевой салфеткой, и периодически ее увлажнять дополнительно. Ёмкости находятся в помещении при температуре 22-24˚С. Ферментация считается завершенной при появлении цветочно-фруктового аромата.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u w:val="single"/>
        </w:rPr>
        <w:t>Сушка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. Её проводят двумя способами: в духовке и на открытом воздухе в сухом теплом помещении. При сушке в духовке ферментированную массу рассыпают на противень, предварительно застелив его пергаментной бумагой, слоем в 0,5-1 см. Массу периодически перемешивают, чтобы не было слипшихся комков. Сушение проводится при температуре от 60 до 80 ˚С, дверца в духовке остается слегка приоткрытой [5]. </w:t>
      </w:r>
    </w:p>
    <w:p w:rsidR="004A194B" w:rsidRPr="006801DE" w:rsidP="006801DE">
      <w:pPr>
        <w:pBdr>
          <w:top w:val="nil"/>
          <w:left w:val="nil"/>
          <w:bottom w:val="nil"/>
          <w:right w:val="nil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ab/>
        <w:t>В рамках исследования собранный иван-чай обрабатывали разными способами, методы обработки и внешний вид полученных образцов «заварки» представлены в таблице 1</w:t>
      </w:r>
      <w:r w:rsidR="00B177E1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(иллюстрации в приложении рис. 2-3)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.</w:t>
      </w: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Таблица 1. Способы обработки 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>иван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 - чая. Описание подготовленного сырья.</w:t>
      </w:r>
    </w:p>
    <w:tbl>
      <w:tblPr>
        <w:tblStyle w:val="TableGrid"/>
        <w:tblW w:w="10310" w:type="dxa"/>
        <w:tblInd w:w="43" w:type="dxa"/>
        <w:tblLayout w:type="fixed"/>
        <w:tblLook w:val="04A0"/>
      </w:tblPr>
      <w:tblGrid>
        <w:gridCol w:w="695"/>
        <w:gridCol w:w="1638"/>
        <w:gridCol w:w="3901"/>
        <w:gridCol w:w="1842"/>
        <w:gridCol w:w="2234"/>
      </w:tblGrid>
      <w:tr>
        <w:tblPrEx>
          <w:tblW w:w="10310" w:type="dxa"/>
          <w:tblInd w:w="43" w:type="dxa"/>
          <w:tblLayout w:type="fixed"/>
          <w:tblLook w:val="04A0"/>
        </w:tblPrEx>
        <w:tc>
          <w:tcPr>
            <w:tcW w:w="69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3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Способ обработки</w:t>
            </w:r>
          </w:p>
        </w:tc>
        <w:tc>
          <w:tcPr>
            <w:tcW w:w="3901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Технология обработки</w:t>
            </w:r>
          </w:p>
        </w:tc>
        <w:tc>
          <w:tcPr>
            <w:tcW w:w="1842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2234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Внешний вид заварки</w:t>
            </w:r>
          </w:p>
        </w:tc>
      </w:tr>
      <w:tr>
        <w:tblPrEx>
          <w:tblW w:w="10310" w:type="dxa"/>
          <w:tblInd w:w="43" w:type="dxa"/>
          <w:tblLayout w:type="fixed"/>
          <w:tblLook w:val="04A0"/>
        </w:tblPrEx>
        <w:tc>
          <w:tcPr>
            <w:tcW w:w="69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Высушивание листьев на воздухе без измельчания</w:t>
            </w:r>
          </w:p>
        </w:tc>
        <w:tc>
          <w:tcPr>
            <w:tcW w:w="3901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 xml:space="preserve">Листья раскладывают на горизонтальной поверхности, застеленной пергаментной бумагой, слоем не более 1 см и оставляют в теплом сухом месте до прекращения потери веса. Сырье периодически ворошат, чтобы не слеживалось. </w:t>
            </w:r>
          </w:p>
        </w:tc>
        <w:tc>
          <w:tcPr>
            <w:tcW w:w="1842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Образцы массой 220 г высох за 3-е суток, потеря массы составила 71%</w:t>
            </w:r>
          </w:p>
        </w:tc>
        <w:tc>
          <w:tcPr>
            <w:tcW w:w="2234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Цвет: насыщенный зеленый 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Форма: листовой 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Запах: насыщенный травяной, напоминает запах сена</w:t>
            </w:r>
          </w:p>
        </w:tc>
      </w:tr>
      <w:tr>
        <w:tblPrEx>
          <w:tblW w:w="10310" w:type="dxa"/>
          <w:tblInd w:w="43" w:type="dxa"/>
          <w:tblLayout w:type="fixed"/>
          <w:tblLook w:val="04A0"/>
        </w:tblPrEx>
        <w:tc>
          <w:tcPr>
            <w:tcW w:w="69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Высушивание листьев на воздухе с измельчением </w:t>
            </w:r>
          </w:p>
        </w:tc>
        <w:tc>
          <w:tcPr>
            <w:tcW w:w="3901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Подвяленные листья пропустили через мясорубку, разложили слоем 0,5 см на противне, застеленном пергаментом, оставили высыхать на воздухе в теплом сухом помещении.</w:t>
            </w:r>
          </w:p>
        </w:tc>
        <w:tc>
          <w:tcPr>
            <w:tcW w:w="1842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Образец массой 220 г высох за 4 суток, потеря массы составила 72%</w:t>
            </w:r>
          </w:p>
        </w:tc>
        <w:tc>
          <w:tcPr>
            <w:tcW w:w="2234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Цвет: насыщенный темно зеленый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Форма: условно гранулированный 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Запах: слабый травяной</w:t>
            </w:r>
          </w:p>
        </w:tc>
      </w:tr>
      <w:tr>
        <w:tblPrEx>
          <w:tblW w:w="10310" w:type="dxa"/>
          <w:tblInd w:w="43" w:type="dxa"/>
          <w:tblLayout w:type="fixed"/>
          <w:tblLook w:val="04A0"/>
        </w:tblPrEx>
        <w:tc>
          <w:tcPr>
            <w:tcW w:w="69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Высушенный при температуре с измельчением </w:t>
            </w:r>
          </w:p>
        </w:tc>
        <w:tc>
          <w:tcPr>
            <w:tcW w:w="3901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 xml:space="preserve">Подвяленные листья пропустили через мясорубку, разложили слоем 0,5 см на противне, застеленном </w:t>
            </w: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пергаментом</w:t>
            </w: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 xml:space="preserve"> и высушили в духовом шкафу при температуре 80 </w:t>
            </w:r>
            <w:r w:rsidRPr="006801DE"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</w:rPr>
              <w:t>˚С</w:t>
            </w:r>
          </w:p>
        </w:tc>
        <w:tc>
          <w:tcPr>
            <w:tcW w:w="1842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Образец массой 220 г подсушился за 1,5 часа, потеря массы составила 71%</w:t>
            </w:r>
          </w:p>
        </w:tc>
        <w:tc>
          <w:tcPr>
            <w:tcW w:w="2234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Цвет: болотный (коричнево-зеленый)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Форма: условно гранулированный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Запах: слабый травяной с привкусом ягод</w:t>
            </w:r>
          </w:p>
        </w:tc>
      </w:tr>
      <w:tr>
        <w:tblPrEx>
          <w:tblW w:w="10310" w:type="dxa"/>
          <w:tblInd w:w="43" w:type="dxa"/>
          <w:tblLayout w:type="fixed"/>
          <w:tblLook w:val="04A0"/>
        </w:tblPrEx>
        <w:tc>
          <w:tcPr>
            <w:tcW w:w="69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Ферментированный </w:t>
            </w:r>
          </w:p>
        </w:tc>
        <w:tc>
          <w:tcPr>
            <w:tcW w:w="3901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Подвяленные листья одного образца пропустили через мясорубку, другого – скрутили в ручную, уложили в глиняный горшочек, накрыли влажной марлей в несколько слоев, выдержали в темном месте в течение 36 ч, по истечении которых высушили в духовке (пропущенные через мясорубку - при 80</w:t>
            </w:r>
            <w:r w:rsidRPr="006801DE"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</w:rPr>
              <w:t xml:space="preserve"> ˚С</w:t>
            </w: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, скрученные в ручную - при 60</w:t>
            </w:r>
            <w:r w:rsidRPr="006801DE"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</w:rPr>
              <w:t xml:space="preserve"> ˚С</w:t>
            </w: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Образец массой 220 г подсушился за 1,5 часа, потеря массы составила 72%</w:t>
            </w:r>
          </w:p>
        </w:tc>
        <w:tc>
          <w:tcPr>
            <w:tcW w:w="2234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Цвет: 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темно- коричневый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Форма: условно гранулированный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Запах: ягодный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94B" w:rsidRPr="006801DE" w:rsidP="006801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Результаты наблюдений: </w:t>
      </w:r>
    </w:p>
    <w:p w:rsidR="00B177E1" w:rsidRPr="00B177E1" w:rsidP="00B177E1">
      <w:pPr>
        <w:pStyle w:val="ListParagraph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сырье, высушенное при температуре окружающей среды, сохранило насыщенный зеленый цвет, имеет сильный травяной запах (как у сена):</w:t>
      </w:r>
    </w:p>
    <w:p w:rsidR="00B177E1" w:rsidRPr="00B177E1" w:rsidP="00B177E1">
      <w:pPr>
        <w:pStyle w:val="ListParagraph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7E1">
        <w:rPr>
          <w:rFonts w:ascii="Times New Roman" w:eastAsia="Liberation Sans" w:hAnsi="Times New Roman" w:cs="Times New Roman"/>
          <w:sz w:val="28"/>
          <w:szCs w:val="28"/>
        </w:rPr>
        <w:t>сырье, высушенной при более высокой температуре, изменило цвет до коричнево-зеленого, запах приобрел легкие ягодные нотки, травяной аромат стал слабее;</w:t>
      </w:r>
    </w:p>
    <w:p w:rsidR="004A194B" w:rsidRPr="00B177E1" w:rsidP="00B177E1">
      <w:pPr>
        <w:pStyle w:val="ListParagraph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7E1">
        <w:rPr>
          <w:rFonts w:ascii="Times New Roman" w:eastAsia="Liberation Sans" w:hAnsi="Times New Roman" w:cs="Times New Roman"/>
          <w:sz w:val="28"/>
          <w:szCs w:val="28"/>
        </w:rPr>
        <w:t>ферментированное сырье имеет цвет от коричневого до темно-коричневого и ярко-выраженный ягодный аромат.</w:t>
      </w:r>
    </w:p>
    <w:p w:rsidR="004A194B" w:rsidRPr="006801DE" w:rsidP="006801D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94B" w:rsidRPr="007228BF" w:rsidP="007228BF">
      <w:pPr>
        <w:pStyle w:val="Heading2"/>
      </w:pPr>
      <w:bookmarkStart w:id="6" w:name="_Toc212831340"/>
      <w:r w:rsidRPr="007228BF">
        <w:t>2.2 Органолептические свойства настоев «Иван-чая»</w:t>
      </w:r>
      <w:bookmarkEnd w:id="6"/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Полученные образцы «заварки» мы использовали для приготовления настоев и чайных напитков. Настоем мы называем водные экстракты из высушенных при температуре окружающей среды без ферментации листьев иван-чая. Чайные напитки получены завариванием образцов из высушенных измельченных и высушенных при температуре 60-80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˚С листьев, в том числе подвергшихся ферментации. Для обозначения образцов использовали букву «ЯТ» для иван-чая, собранного в окрестностях 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г.Тарко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-Сале, буквы «БТ» и «ББ» - в окрестностях 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г.Туймазы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и Бирска соответственно. Также в названии образца цифрами указана температура сушки. 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Условия заваривания: масса заварки для одной порции напитка 3г, объем воды 100 см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, температура воды 80 ˚С, время настаивания 15 минут.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   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Для заваривания использовали дистиллированную воду</w:t>
      </w:r>
      <w:r w:rsidR="00B177E1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(иллюстрации в приложении рис. 4</w:t>
      </w:r>
      <w:r w:rsidR="002969A5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-5)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. 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Для определения органолептических показателей настоев и чайных напитков из кипрея мы ориентировались на ГОСТ 32572-2013. Межгосударственный стандарт. Чай. Органолептический анализ. Для оценки вкуса напитка использовали шкалу от 1 до 5, где 5 самый вкусный. Результаты представлены в таблице 2.</w:t>
      </w: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Таблица 2. Органолептические свойства настоев и чайных напитков из иван-чая.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68" w:type="dxa"/>
        <w:tblLayout w:type="fixed"/>
        <w:tblLook w:val="04A0"/>
      </w:tblPr>
      <w:tblGrid>
        <w:gridCol w:w="745"/>
        <w:gridCol w:w="2030"/>
        <w:gridCol w:w="3032"/>
        <w:gridCol w:w="2835"/>
        <w:gridCol w:w="1526"/>
      </w:tblGrid>
      <w:tr w:rsidTr="002969A5">
        <w:tblPrEx>
          <w:tblW w:w="10168" w:type="dxa"/>
          <w:tblLayout w:type="fixed"/>
          <w:tblLook w:val="04A0"/>
        </w:tblPrEx>
        <w:tc>
          <w:tcPr>
            <w:tcW w:w="74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№ образца</w:t>
            </w:r>
          </w:p>
        </w:tc>
        <w:tc>
          <w:tcPr>
            <w:tcW w:w="203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Вид образца</w:t>
            </w:r>
          </w:p>
        </w:tc>
        <w:tc>
          <w:tcPr>
            <w:tcW w:w="3032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 раствора</w:t>
            </w:r>
          </w:p>
        </w:tc>
        <w:tc>
          <w:tcPr>
            <w:tcW w:w="283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Вкус и аромат</w:t>
            </w:r>
          </w:p>
        </w:tc>
        <w:tc>
          <w:tcPr>
            <w:tcW w:w="1526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Результат оценки вкуса</w:t>
            </w:r>
          </w:p>
        </w:tc>
      </w:tr>
      <w:tr w:rsidTr="002969A5">
        <w:tblPrEx>
          <w:tblW w:w="10168" w:type="dxa"/>
          <w:tblLayout w:type="fixed"/>
          <w:tblLook w:val="04A0"/>
        </w:tblPrEx>
        <w:trPr>
          <w:trHeight w:val="366"/>
        </w:trPr>
        <w:tc>
          <w:tcPr>
            <w:tcW w:w="74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0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Листовой 25 (ЯТ) </w:t>
            </w:r>
          </w:p>
        </w:tc>
        <w:tc>
          <w:tcPr>
            <w:tcW w:w="3032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 желто-оранжевый (с зеленоватым оттенком) мутный</w:t>
            </w:r>
          </w:p>
        </w:tc>
        <w:tc>
          <w:tcPr>
            <w:tcW w:w="283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Вяжущий, терпкий с кислинкой, травяной аромат</w:t>
            </w:r>
          </w:p>
        </w:tc>
        <w:tc>
          <w:tcPr>
            <w:tcW w:w="1526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</w:t>
            </w:r>
          </w:p>
        </w:tc>
      </w:tr>
      <w:tr w:rsidTr="002969A5">
        <w:tblPrEx>
          <w:tblW w:w="10168" w:type="dxa"/>
          <w:tblLayout w:type="fixed"/>
          <w:tblLook w:val="04A0"/>
        </w:tblPrEx>
        <w:trPr>
          <w:trHeight w:val="366"/>
        </w:trPr>
        <w:tc>
          <w:tcPr>
            <w:tcW w:w="74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0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Гранулированный 25</w:t>
            </w:r>
            <w:r w:rsidRPr="006801DE"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(ЯТ)</w:t>
            </w:r>
          </w:p>
        </w:tc>
        <w:tc>
          <w:tcPr>
            <w:tcW w:w="3032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 желто-коричневый мутный</w:t>
            </w:r>
          </w:p>
        </w:tc>
        <w:tc>
          <w:tcPr>
            <w:tcW w:w="2835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Мягкий, без горечи и терпкости, аромат приятный растительный </w:t>
            </w:r>
          </w:p>
        </w:tc>
        <w:tc>
          <w:tcPr>
            <w:tcW w:w="1526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</w:t>
            </w:r>
          </w:p>
        </w:tc>
      </w:tr>
      <w:tr w:rsidTr="002969A5">
        <w:tblPrEx>
          <w:tblW w:w="10168" w:type="dxa"/>
          <w:tblLayout w:type="fixed"/>
          <w:tblLook w:val="04A0"/>
        </w:tblPrEx>
        <w:trPr>
          <w:trHeight w:val="366"/>
        </w:trPr>
        <w:tc>
          <w:tcPr>
            <w:tcW w:w="74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0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Гранулированный 80 (ЯТ)</w:t>
            </w:r>
          </w:p>
        </w:tc>
        <w:tc>
          <w:tcPr>
            <w:tcW w:w="3032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 желто-коричневый</w:t>
            </w:r>
          </w:p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Прозрачный </w:t>
            </w:r>
          </w:p>
        </w:tc>
        <w:tc>
          <w:tcPr>
            <w:tcW w:w="283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Средне-терпкий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, кислый, аромат легкий ягодный</w:t>
            </w:r>
          </w:p>
        </w:tc>
        <w:tc>
          <w:tcPr>
            <w:tcW w:w="1526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3</w:t>
            </w:r>
          </w:p>
        </w:tc>
      </w:tr>
      <w:tr w:rsidTr="002969A5">
        <w:tblPrEx>
          <w:tblW w:w="10168" w:type="dxa"/>
          <w:tblLayout w:type="fixed"/>
          <w:tblLook w:val="04A0"/>
        </w:tblPrEx>
        <w:trPr>
          <w:trHeight w:val="366"/>
        </w:trPr>
        <w:tc>
          <w:tcPr>
            <w:tcW w:w="74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Ферментированный 80 (ЯТ)</w:t>
            </w:r>
          </w:p>
        </w:tc>
        <w:tc>
          <w:tcPr>
            <w:tcW w:w="3032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 темный красно-коричневый прозрачный</w:t>
            </w:r>
          </w:p>
        </w:tc>
        <w:tc>
          <w:tcPr>
            <w:tcW w:w="283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Мягкий, без терпкости и кислинки, аромат фруктовый </w:t>
            </w:r>
          </w:p>
        </w:tc>
        <w:tc>
          <w:tcPr>
            <w:tcW w:w="1526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</w:t>
            </w:r>
          </w:p>
        </w:tc>
      </w:tr>
      <w:tr w:rsidTr="002969A5">
        <w:tblPrEx>
          <w:tblW w:w="10168" w:type="dxa"/>
          <w:tblLayout w:type="fixed"/>
          <w:tblLook w:val="04A0"/>
        </w:tblPrEx>
        <w:tc>
          <w:tcPr>
            <w:tcW w:w="74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0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Гранулированный 25 (БТ)</w:t>
            </w:r>
          </w:p>
        </w:tc>
        <w:tc>
          <w:tcPr>
            <w:tcW w:w="3032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 желто-коричневый мутный</w:t>
            </w:r>
          </w:p>
        </w:tc>
        <w:tc>
          <w:tcPr>
            <w:tcW w:w="283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Сильно-терпкий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, с горечью и легкой кислинкой, аромат легкий травяной</w:t>
            </w:r>
          </w:p>
        </w:tc>
        <w:tc>
          <w:tcPr>
            <w:tcW w:w="1526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2</w:t>
            </w:r>
          </w:p>
        </w:tc>
      </w:tr>
      <w:tr w:rsidTr="002969A5">
        <w:tblPrEx>
          <w:tblW w:w="10168" w:type="dxa"/>
          <w:tblLayout w:type="fixed"/>
          <w:tblLook w:val="04A0"/>
        </w:tblPrEx>
        <w:tc>
          <w:tcPr>
            <w:tcW w:w="74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0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Гранулированный 80 (БТ)</w:t>
            </w:r>
          </w:p>
        </w:tc>
        <w:tc>
          <w:tcPr>
            <w:tcW w:w="3032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Цвет светло-коричневый 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Прозрачный </w:t>
            </w:r>
          </w:p>
        </w:tc>
        <w:tc>
          <w:tcPr>
            <w:tcW w:w="283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Средне-терпкий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, без кислинки, с ягодным ароматом</w:t>
            </w:r>
          </w:p>
        </w:tc>
        <w:tc>
          <w:tcPr>
            <w:tcW w:w="1526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</w:t>
            </w:r>
          </w:p>
        </w:tc>
      </w:tr>
      <w:tr w:rsidTr="002969A5">
        <w:tblPrEx>
          <w:tblW w:w="10168" w:type="dxa"/>
          <w:tblLayout w:type="fixed"/>
          <w:tblLook w:val="04A0"/>
        </w:tblPrEx>
        <w:tc>
          <w:tcPr>
            <w:tcW w:w="74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0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Ферментированный 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  <w:t>6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0 (ББ)</w:t>
            </w:r>
          </w:p>
        </w:tc>
        <w:tc>
          <w:tcPr>
            <w:tcW w:w="3032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Цвет светло-коричневый</w:t>
            </w:r>
          </w:p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Прозрачный </w:t>
            </w:r>
          </w:p>
        </w:tc>
        <w:tc>
          <w:tcPr>
            <w:tcW w:w="2835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Терпкий с кислинкой и    ягодным ароматом</w:t>
            </w:r>
          </w:p>
        </w:tc>
        <w:tc>
          <w:tcPr>
            <w:tcW w:w="1526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</w:t>
            </w:r>
          </w:p>
        </w:tc>
      </w:tr>
    </w:tbl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pStyle w:val="ListParagraph"/>
        <w:spacing w:after="0" w:line="240" w:lineRule="auto"/>
        <w:ind w:left="0"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Результат: </w:t>
      </w:r>
    </w:p>
    <w:p w:rsidR="004A194B" w:rsidRPr="006801DE" w:rsidP="00B177E1">
      <w:pPr>
        <w:pStyle w:val="ListParagraph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напитки из сырья, высушенного при более высокой температуре, темнее и имеют оттенки от желто-коричневого до красно-коричневого, прозрачные, имеют аромат с фруктовыми и ягодными нотками, </w:t>
      </w:r>
    </w:p>
    <w:p w:rsidR="004A194B" w:rsidRPr="006801DE" w:rsidP="00B177E1">
      <w:pPr>
        <w:pStyle w:val="ListParagraph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напитки из сырья, высушенного при комнатной температуре более светлых оттенков, мутные, сохраняют аромат травы.</w:t>
      </w:r>
    </w:p>
    <w:p w:rsidR="004A194B" w:rsidRPr="006801DE" w:rsidP="00B177E1">
      <w:pPr>
        <w:pStyle w:val="ListParagraph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 некоторые напитки приобрели кисловатый привкус не зависимо от способа обработки и региона произрастания.</w:t>
      </w:r>
    </w:p>
    <w:p w:rsidR="004A194B" w:rsidRPr="006801DE" w:rsidP="006801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7228BF" w:rsidP="007228BF">
      <w:pPr>
        <w:pStyle w:val="Heading2"/>
      </w:pPr>
      <w:bookmarkStart w:id="7" w:name="_Toc212831341"/>
      <w:r w:rsidRPr="007228BF">
        <w:t xml:space="preserve">2.3 </w:t>
      </w:r>
      <w:r w:rsidRPr="007228BF" w:rsidR="00985F13">
        <w:t>Химические свойства настоев иван-чая</w:t>
      </w:r>
      <w:bookmarkEnd w:id="7"/>
    </w:p>
    <w:p w:rsidR="004A194B" w:rsidRPr="006801DE" w:rsidP="0068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Из литературных источников нам известно, что кипрей узколистный содержит витамин «С» [1,2]. </w:t>
      </w:r>
      <w:r w:rsidRPr="003126F6" w:rsidR="003126F6">
        <w:rPr>
          <w:rFonts w:ascii="Times New Roman" w:hAnsi="Times New Roman" w:cs="Times New Roman"/>
          <w:sz w:val="28"/>
          <w:szCs w:val="28"/>
        </w:rPr>
        <w:t xml:space="preserve">Для определения содержания витамина С существует несколько методов анализа: фотометрический, </w:t>
      </w:r>
      <w:r w:rsidRPr="003126F6" w:rsidR="003126F6">
        <w:rPr>
          <w:rFonts w:ascii="Times New Roman" w:hAnsi="Times New Roman" w:cs="Times New Roman"/>
          <w:sz w:val="28"/>
          <w:szCs w:val="28"/>
        </w:rPr>
        <w:t>флуориметрический</w:t>
      </w:r>
      <w:r w:rsidRPr="003126F6" w:rsidR="003126F6">
        <w:rPr>
          <w:rFonts w:ascii="Times New Roman" w:hAnsi="Times New Roman" w:cs="Times New Roman"/>
          <w:sz w:val="28"/>
          <w:szCs w:val="28"/>
        </w:rPr>
        <w:t>, титриметрический (прямое и обратное титрование) [</w:t>
      </w:r>
      <w:r w:rsidR="003126F6">
        <w:rPr>
          <w:rFonts w:ascii="Times New Roman" w:hAnsi="Times New Roman" w:cs="Times New Roman"/>
          <w:sz w:val="28"/>
          <w:szCs w:val="28"/>
        </w:rPr>
        <w:t>6</w:t>
      </w:r>
      <w:r w:rsidRPr="003126F6" w:rsidR="003126F6">
        <w:rPr>
          <w:rFonts w:ascii="Times New Roman" w:hAnsi="Times New Roman" w:cs="Times New Roman"/>
          <w:sz w:val="28"/>
          <w:szCs w:val="28"/>
        </w:rPr>
        <w:t xml:space="preserve">, </w:t>
      </w:r>
      <w:r w:rsidR="003126F6">
        <w:rPr>
          <w:rFonts w:ascii="Times New Roman" w:hAnsi="Times New Roman" w:cs="Times New Roman"/>
          <w:sz w:val="28"/>
          <w:szCs w:val="28"/>
        </w:rPr>
        <w:t>7, 8</w:t>
      </w:r>
      <w:r w:rsidRPr="003126F6" w:rsidR="003126F6">
        <w:rPr>
          <w:rFonts w:ascii="Times New Roman" w:hAnsi="Times New Roman" w:cs="Times New Roman"/>
          <w:sz w:val="28"/>
          <w:szCs w:val="28"/>
        </w:rPr>
        <w:t>]. Изучив все методы анализа, был выбран наиболее простой и доступный, не требующий применения дорогостоящих реактивов и оборудования: йодометрическое титрование прямым способом</w:t>
      </w:r>
      <w:r w:rsidR="003126F6">
        <w:rPr>
          <w:rFonts w:ascii="Times New Roman" w:hAnsi="Times New Roman" w:cs="Times New Roman"/>
          <w:sz w:val="28"/>
          <w:szCs w:val="28"/>
        </w:rPr>
        <w:t xml:space="preserve">. </w:t>
      </w:r>
      <w:r w:rsidRPr="006801DE">
        <w:rPr>
          <w:rFonts w:ascii="Times New Roman" w:hAnsi="Times New Roman" w:cs="Times New Roman"/>
          <w:sz w:val="28"/>
          <w:szCs w:val="28"/>
        </w:rPr>
        <w:t>Для того, чтобы количественно определить этот показатель</w:t>
      </w:r>
      <w:r w:rsidR="00816BC9">
        <w:rPr>
          <w:rFonts w:ascii="Times New Roman" w:hAnsi="Times New Roman" w:cs="Times New Roman"/>
          <w:sz w:val="28"/>
          <w:szCs w:val="28"/>
        </w:rPr>
        <w:t xml:space="preserve"> в </w:t>
      </w:r>
      <w:r w:rsidRPr="006801DE" w:rsidR="00816BC9">
        <w:rPr>
          <w:rFonts w:ascii="Times New Roman" w:hAnsi="Times New Roman" w:cs="Times New Roman"/>
          <w:sz w:val="28"/>
          <w:szCs w:val="28"/>
        </w:rPr>
        <w:t>раствор</w:t>
      </w:r>
      <w:r w:rsidR="00816BC9">
        <w:rPr>
          <w:rFonts w:ascii="Times New Roman" w:hAnsi="Times New Roman" w:cs="Times New Roman"/>
          <w:sz w:val="28"/>
          <w:szCs w:val="28"/>
        </w:rPr>
        <w:t>ах</w:t>
      </w:r>
      <w:r w:rsidRPr="006801DE" w:rsidR="00816BC9">
        <w:rPr>
          <w:rFonts w:ascii="Times New Roman" w:hAnsi="Times New Roman" w:cs="Times New Roman"/>
          <w:sz w:val="28"/>
          <w:szCs w:val="28"/>
        </w:rPr>
        <w:t xml:space="preserve"> иван-чая</w:t>
      </w:r>
      <w:r w:rsidRPr="006801DE">
        <w:rPr>
          <w:rFonts w:ascii="Times New Roman" w:hAnsi="Times New Roman" w:cs="Times New Roman"/>
          <w:sz w:val="28"/>
          <w:szCs w:val="28"/>
        </w:rPr>
        <w:t xml:space="preserve"> применена </w:t>
      </w:r>
      <w:r w:rsidR="00816BC9">
        <w:rPr>
          <w:rFonts w:ascii="Times New Roman" w:hAnsi="Times New Roman" w:cs="Times New Roman"/>
          <w:sz w:val="28"/>
          <w:szCs w:val="28"/>
        </w:rPr>
        <w:t xml:space="preserve">адаптированная для детской аудитории </w:t>
      </w:r>
      <w:r w:rsidRPr="006801DE">
        <w:rPr>
          <w:rFonts w:ascii="Times New Roman" w:hAnsi="Times New Roman" w:cs="Times New Roman"/>
          <w:sz w:val="28"/>
          <w:szCs w:val="28"/>
        </w:rPr>
        <w:t>методика (прил</w:t>
      </w:r>
      <w:r w:rsidR="002969A5">
        <w:rPr>
          <w:rFonts w:ascii="Times New Roman" w:hAnsi="Times New Roman" w:cs="Times New Roman"/>
          <w:sz w:val="28"/>
          <w:szCs w:val="28"/>
        </w:rPr>
        <w:t>ожение</w:t>
      </w:r>
      <w:r w:rsidRPr="006801DE">
        <w:rPr>
          <w:rFonts w:ascii="Times New Roman" w:hAnsi="Times New Roman" w:cs="Times New Roman"/>
          <w:sz w:val="28"/>
          <w:szCs w:val="28"/>
        </w:rPr>
        <w:t xml:space="preserve"> рис. 6). Оборудование</w:t>
      </w:r>
      <w:r w:rsidR="00B177E1">
        <w:rPr>
          <w:rFonts w:ascii="Times New Roman" w:hAnsi="Times New Roman" w:cs="Times New Roman"/>
          <w:sz w:val="28"/>
          <w:szCs w:val="28"/>
        </w:rPr>
        <w:t>,</w:t>
      </w:r>
      <w:r w:rsidRPr="006801DE">
        <w:rPr>
          <w:rFonts w:ascii="Times New Roman" w:hAnsi="Times New Roman" w:cs="Times New Roman"/>
          <w:sz w:val="28"/>
          <w:szCs w:val="28"/>
        </w:rPr>
        <w:t xml:space="preserve"> реактивы и методика выполнения приведены в приложении.</w:t>
      </w:r>
    </w:p>
    <w:p w:rsidR="003126F6" w:rsidRPr="003126F6" w:rsidP="0031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816BC9">
        <w:rPr>
          <w:rFonts w:ascii="Times New Roman" w:hAnsi="Times New Roman" w:cs="Times New Roman"/>
          <w:sz w:val="28"/>
          <w:szCs w:val="28"/>
        </w:rPr>
        <w:t>кислотности (</w:t>
      </w:r>
      <w:r w:rsidRPr="006801DE">
        <w:rPr>
          <w:rFonts w:ascii="Times New Roman" w:hAnsi="Times New Roman" w:cs="Times New Roman"/>
          <w:sz w:val="28"/>
          <w:szCs w:val="28"/>
        </w:rPr>
        <w:t>рН</w:t>
      </w:r>
      <w:r w:rsidR="00816BC9">
        <w:rPr>
          <w:rFonts w:ascii="Times New Roman" w:hAnsi="Times New Roman" w:cs="Times New Roman"/>
          <w:sz w:val="28"/>
          <w:szCs w:val="28"/>
        </w:rPr>
        <w:t>)</w:t>
      </w:r>
      <w:r w:rsidRPr="006801DE">
        <w:rPr>
          <w:rFonts w:ascii="Times New Roman" w:hAnsi="Times New Roman" w:cs="Times New Roman"/>
          <w:sz w:val="28"/>
          <w:szCs w:val="28"/>
        </w:rPr>
        <w:t xml:space="preserve"> и общей минерализации. </w:t>
      </w:r>
      <w:r w:rsidRPr="003126F6">
        <w:rPr>
          <w:rFonts w:ascii="Times New Roman" w:hAnsi="Times New Roman" w:cs="Times New Roman"/>
          <w:sz w:val="28"/>
          <w:szCs w:val="28"/>
        </w:rPr>
        <w:t>Для определения степени минерализации воды используются два метода анализа: термогравиметрический и кондуктометрический. При термогравиметрическом методе пробу воды выпаривают, выделяют сухой остаток и определяют его массу способом высушивания в сушильном шкафу при 110⁰ С до постоянной величины 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126F6">
        <w:rPr>
          <w:rFonts w:ascii="Times New Roman" w:hAnsi="Times New Roman" w:cs="Times New Roman"/>
          <w:sz w:val="28"/>
          <w:szCs w:val="28"/>
        </w:rPr>
        <w:t>]. Это занимает много времени, примерно 6-8 часов.</w:t>
      </w:r>
    </w:p>
    <w:p w:rsidR="003126F6" w:rsidRPr="003126F6" w:rsidP="0031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F6">
        <w:rPr>
          <w:rFonts w:ascii="Times New Roman" w:hAnsi="Times New Roman" w:cs="Times New Roman"/>
          <w:sz w:val="28"/>
          <w:szCs w:val="28"/>
        </w:rPr>
        <w:t xml:space="preserve">Кондуктометрический метод определения сухого остатка (общей минерализации) часто используется для срочных и быстрых анализов. </w:t>
      </w:r>
      <w:r w:rsidRPr="00F801B8">
        <w:rPr>
          <w:rFonts w:ascii="Times New Roman" w:eastAsia="Liberation Sans" w:hAnsi="Times New Roman" w:cs="Times New Roman"/>
          <w:sz w:val="28"/>
          <w:szCs w:val="28"/>
          <w:lang w:eastAsia="ru-RU"/>
        </w:rPr>
        <w:t>Преимущества кондуктометрического метода анализа содержания сухого остатка:</w:t>
      </w:r>
    </w:p>
    <w:p w:rsidR="003126F6" w:rsidRPr="00F801B8" w:rsidP="003126F6">
      <w:pPr>
        <w:widowControl w:val="0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B8">
        <w:rPr>
          <w:rFonts w:ascii="Times New Roman" w:eastAsia="Liberation Sans" w:hAnsi="Times New Roman" w:cs="Times New Roman"/>
          <w:sz w:val="28"/>
          <w:szCs w:val="28"/>
          <w:lang w:eastAsia="ru-RU"/>
        </w:rPr>
        <w:t>значительно менее трудоемкий по сравнению с термогравиметрическим;</w:t>
      </w:r>
    </w:p>
    <w:p w:rsidR="003126F6" w:rsidRPr="00F801B8" w:rsidP="003126F6">
      <w:pPr>
        <w:widowControl w:val="0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B8">
        <w:rPr>
          <w:rFonts w:ascii="Times New Roman" w:eastAsia="Liberation Sans" w:hAnsi="Times New Roman" w:cs="Times New Roman"/>
          <w:sz w:val="28"/>
          <w:szCs w:val="28"/>
          <w:lang w:eastAsia="ru-RU"/>
        </w:rPr>
        <w:t xml:space="preserve">более быстрый (экспресс-метод), весь процесс анализа занимает считанные минуты; </w:t>
      </w:r>
    </w:p>
    <w:p w:rsidR="003126F6" w:rsidRPr="00F801B8" w:rsidP="003126F6">
      <w:pPr>
        <w:widowControl w:val="0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B8">
        <w:rPr>
          <w:rFonts w:ascii="Times New Roman" w:eastAsia="Liberation Sans" w:hAnsi="Times New Roman" w:cs="Times New Roman"/>
          <w:sz w:val="28"/>
          <w:szCs w:val="28"/>
          <w:lang w:eastAsia="ru-RU"/>
        </w:rPr>
        <w:t>данный метод вполне доступен любой, даже школьной лаборатории, потому что не требует дорогостоящего оборудования и большого количества посуды и реактивов;</w:t>
      </w:r>
    </w:p>
    <w:p w:rsidR="003126F6" w:rsidRPr="00F801B8" w:rsidP="003126F6">
      <w:pPr>
        <w:widowControl w:val="0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1B8">
        <w:rPr>
          <w:rFonts w:ascii="Times New Roman" w:eastAsia="Liberation Sans" w:hAnsi="Times New Roman" w:cs="Times New Roman"/>
          <w:sz w:val="28"/>
          <w:szCs w:val="28"/>
          <w:lang w:eastAsia="ru-RU"/>
        </w:rPr>
        <w:t xml:space="preserve"> высокая степень безопасности в работе, так как нет процессов, связанных с нагревом жидкости и использованием высоких температур в принципе.</w:t>
      </w:r>
    </w:p>
    <w:p w:rsidR="003126F6" w:rsidP="00312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выбран именно этот метод с</w:t>
      </w:r>
      <w:r w:rsidRPr="00F801B8" w:rsidR="0029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прибора МАРК 603/1, предварительно откалиброванного по стандартным растворам хлорида натрия.</w:t>
      </w:r>
      <w:r w:rsidR="0081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A2" w:rsidR="008706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Измерения выполнялись с термокомпенсацией, благодаря встроенной функции кондуктометра</w:t>
      </w:r>
      <w:r w:rsidR="008706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6A2" w:rsidR="00870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06A2" w:rsidP="0031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измерения кислотности использовали рН метр ИТ 1101, предварительно откалиброванный по буферным растворам</w:t>
      </w:r>
      <w:r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3D6D"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выполнения и точность измерений проверена с помощью государственных стандартных образцов</w:t>
      </w:r>
      <w:r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43D6D"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</w:t>
      </w:r>
      <w:r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43D6D"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43D6D"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проводимост</w:t>
      </w:r>
      <w:r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3D6D"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ГСО УЭП водных сред</w:t>
      </w:r>
      <w:r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43D6D"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УЭП-4, значение УЭП 0,029 См/м</w:t>
      </w:r>
      <w:r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буферных растворов со стандартными значениями рН 4,01, 6,86, 9,18</w:t>
      </w:r>
      <w:r w:rsidRPr="00543D6D" w:rsidR="005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194B" w:rsidRPr="006801DE" w:rsidP="00296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Результаты измерений представлены в таблице №3.</w:t>
      </w:r>
    </w:p>
    <w:p w:rsidR="004A194B" w:rsidRPr="006801DE" w:rsidP="008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Таблица 3. Показатели химических свойств настоев «Иван-чая.</w:t>
      </w:r>
    </w:p>
    <w:tbl>
      <w:tblPr>
        <w:tblStyle w:val="TableGrid"/>
        <w:tblW w:w="10264" w:type="dxa"/>
        <w:tblLayout w:type="fixed"/>
        <w:tblLook w:val="04A0"/>
      </w:tblPr>
      <w:tblGrid>
        <w:gridCol w:w="748"/>
        <w:gridCol w:w="1936"/>
        <w:gridCol w:w="661"/>
        <w:gridCol w:w="730"/>
        <w:gridCol w:w="729"/>
        <w:gridCol w:w="880"/>
        <w:gridCol w:w="936"/>
        <w:gridCol w:w="1130"/>
        <w:gridCol w:w="838"/>
        <w:gridCol w:w="838"/>
        <w:gridCol w:w="838"/>
      </w:tblGrid>
      <w:tr w:rsidTr="008706A2">
        <w:tblPrEx>
          <w:tblW w:w="10264" w:type="dxa"/>
          <w:tblLayout w:type="fixed"/>
          <w:tblLook w:val="04A0"/>
        </w:tblPrEx>
        <w:trPr>
          <w:trHeight w:val="886"/>
        </w:trPr>
        <w:tc>
          <w:tcPr>
            <w:tcW w:w="748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№ образца</w:t>
            </w:r>
          </w:p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Вид образца</w:t>
            </w:r>
          </w:p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3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pH, ед.</w:t>
            </w:r>
          </w:p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3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Солесодержание (общая минерализация), мг/дм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14" w:type="dxa"/>
            <w:gridSpan w:val="3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Витамин С, мг/100 см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  <w:vertAlign w:val="superscript"/>
              </w:rPr>
              <w:t>3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напитка</w:t>
            </w:r>
          </w:p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</w:tc>
      </w:tr>
      <w:tr w:rsidTr="008706A2">
        <w:tblPrEx>
          <w:tblW w:w="10264" w:type="dxa"/>
          <w:tblLayout w:type="fixed"/>
          <w:tblLook w:val="04A0"/>
        </w:tblPrEx>
        <w:tc>
          <w:tcPr>
            <w:tcW w:w="748" w:type="dxa"/>
            <w:vMerge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88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ср.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ср</w:t>
            </w:r>
          </w:p>
        </w:tc>
      </w:tr>
      <w:tr w:rsidTr="008706A2">
        <w:tblPrEx>
          <w:tblW w:w="10264" w:type="dxa"/>
          <w:tblLayout w:type="fixed"/>
          <w:tblLook w:val="04A0"/>
        </w:tblPrEx>
        <w:trPr>
          <w:trHeight w:val="366"/>
        </w:trPr>
        <w:tc>
          <w:tcPr>
            <w:tcW w:w="74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Листовой 25 (ЯТ) </w:t>
            </w:r>
          </w:p>
        </w:tc>
        <w:tc>
          <w:tcPr>
            <w:tcW w:w="661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  <w:t>5.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729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  <w:t>5.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617,3</w:t>
            </w:r>
          </w:p>
        </w:tc>
        <w:tc>
          <w:tcPr>
            <w:tcW w:w="936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619,5</w:t>
            </w:r>
          </w:p>
        </w:tc>
        <w:tc>
          <w:tcPr>
            <w:tcW w:w="113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9,8</w:t>
            </w:r>
          </w:p>
        </w:tc>
      </w:tr>
      <w:tr w:rsidTr="008706A2">
        <w:tblPrEx>
          <w:tblW w:w="10264" w:type="dxa"/>
          <w:tblLayout w:type="fixed"/>
          <w:tblLook w:val="04A0"/>
        </w:tblPrEx>
        <w:trPr>
          <w:trHeight w:val="366"/>
        </w:trPr>
        <w:tc>
          <w:tcPr>
            <w:tcW w:w="748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vMerge w:val="restart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Гранулированный 25</w:t>
            </w:r>
            <w:r w:rsidRPr="006801DE"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(ЯТ)</w:t>
            </w:r>
          </w:p>
        </w:tc>
        <w:tc>
          <w:tcPr>
            <w:tcW w:w="661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729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80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678,0</w:t>
            </w:r>
          </w:p>
        </w:tc>
        <w:tc>
          <w:tcPr>
            <w:tcW w:w="936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681,8</w:t>
            </w:r>
          </w:p>
        </w:tc>
        <w:tc>
          <w:tcPr>
            <w:tcW w:w="113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838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9,1</w:t>
            </w:r>
          </w:p>
        </w:tc>
      </w:tr>
      <w:tr w:rsidTr="008706A2">
        <w:tblPrEx>
          <w:tblW w:w="10264" w:type="dxa"/>
          <w:tblLayout w:type="fixed"/>
          <w:tblLook w:val="04A0"/>
        </w:tblPrEx>
        <w:trPr>
          <w:trHeight w:val="366"/>
        </w:trPr>
        <w:tc>
          <w:tcPr>
            <w:tcW w:w="748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  <w:vMerge w:val="restart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Гранулированный 80 (ЯТ)</w:t>
            </w:r>
          </w:p>
        </w:tc>
        <w:tc>
          <w:tcPr>
            <w:tcW w:w="661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7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729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880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472,6</w:t>
            </w:r>
          </w:p>
        </w:tc>
        <w:tc>
          <w:tcPr>
            <w:tcW w:w="936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474,5</w:t>
            </w:r>
          </w:p>
        </w:tc>
        <w:tc>
          <w:tcPr>
            <w:tcW w:w="113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838" w:type="dxa"/>
            <w:vMerge w:val="restart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10,7</w:t>
            </w:r>
          </w:p>
        </w:tc>
      </w:tr>
      <w:tr w:rsidTr="008706A2">
        <w:tblPrEx>
          <w:tblW w:w="10264" w:type="dxa"/>
          <w:tblLayout w:type="fixed"/>
          <w:tblLook w:val="04A0"/>
        </w:tblPrEx>
        <w:trPr>
          <w:trHeight w:val="366"/>
        </w:trPr>
        <w:tc>
          <w:tcPr>
            <w:tcW w:w="74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6" w:type="dxa"/>
          </w:tcPr>
          <w:p w:rsidR="004A194B" w:rsidRPr="006801DE" w:rsidP="006801DE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Ферментированный 80 (ЯТ)</w:t>
            </w:r>
          </w:p>
        </w:tc>
        <w:tc>
          <w:tcPr>
            <w:tcW w:w="661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729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88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515,0</w:t>
            </w:r>
          </w:p>
        </w:tc>
        <w:tc>
          <w:tcPr>
            <w:tcW w:w="936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518,0</w:t>
            </w:r>
          </w:p>
        </w:tc>
        <w:tc>
          <w:tcPr>
            <w:tcW w:w="113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516,5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11,3</w:t>
            </w:r>
          </w:p>
        </w:tc>
      </w:tr>
      <w:tr w:rsidTr="008706A2">
        <w:tblPrEx>
          <w:tblW w:w="10264" w:type="dxa"/>
          <w:tblLayout w:type="fixed"/>
          <w:tblLook w:val="04A0"/>
        </w:tblPrEx>
        <w:tc>
          <w:tcPr>
            <w:tcW w:w="74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Гранулированный 25 (БТ)</w:t>
            </w:r>
          </w:p>
        </w:tc>
        <w:tc>
          <w:tcPr>
            <w:tcW w:w="661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7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729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88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526,3</w:t>
            </w:r>
          </w:p>
        </w:tc>
        <w:tc>
          <w:tcPr>
            <w:tcW w:w="936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529,1</w:t>
            </w:r>
          </w:p>
        </w:tc>
        <w:tc>
          <w:tcPr>
            <w:tcW w:w="113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14,3</w:t>
            </w:r>
          </w:p>
        </w:tc>
      </w:tr>
      <w:tr w:rsidTr="008706A2">
        <w:tblPrEx>
          <w:tblW w:w="10264" w:type="dxa"/>
          <w:tblLayout w:type="fixed"/>
          <w:tblLook w:val="04A0"/>
        </w:tblPrEx>
        <w:tc>
          <w:tcPr>
            <w:tcW w:w="74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6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Гранулированный 80 (БТ)</w:t>
            </w:r>
          </w:p>
        </w:tc>
        <w:tc>
          <w:tcPr>
            <w:tcW w:w="661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7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729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8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462,8</w:t>
            </w:r>
          </w:p>
        </w:tc>
        <w:tc>
          <w:tcPr>
            <w:tcW w:w="936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464,9</w:t>
            </w:r>
          </w:p>
        </w:tc>
        <w:tc>
          <w:tcPr>
            <w:tcW w:w="113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16,8</w:t>
            </w:r>
          </w:p>
        </w:tc>
      </w:tr>
      <w:tr w:rsidTr="008706A2">
        <w:tblPrEx>
          <w:tblW w:w="10264" w:type="dxa"/>
          <w:tblLayout w:type="fixed"/>
          <w:tblLook w:val="04A0"/>
        </w:tblPrEx>
        <w:trPr>
          <w:trHeight w:val="654"/>
        </w:trPr>
        <w:tc>
          <w:tcPr>
            <w:tcW w:w="74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6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Ферментированный 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  <w:lang w:val="en-US"/>
              </w:rPr>
              <w:t>6</w:t>
            </w: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0 (ББ)</w:t>
            </w:r>
          </w:p>
        </w:tc>
        <w:tc>
          <w:tcPr>
            <w:tcW w:w="661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30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729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8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664,4</w:t>
            </w:r>
          </w:p>
        </w:tc>
        <w:tc>
          <w:tcPr>
            <w:tcW w:w="936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660,1</w:t>
            </w:r>
          </w:p>
        </w:tc>
        <w:tc>
          <w:tcPr>
            <w:tcW w:w="113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838" w:type="dxa"/>
          </w:tcPr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eastAsia="Liberation Sans" w:hAnsi="Times New Roman" w:cs="Times New Roman"/>
                <w:sz w:val="28"/>
                <w:szCs w:val="28"/>
              </w:rPr>
              <w:t>15,2</w:t>
            </w:r>
          </w:p>
          <w:p w:rsidR="004A194B" w:rsidRPr="006801DE" w:rsidP="006801DE">
            <w:pPr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</w:tc>
      </w:tr>
    </w:tbl>
    <w:p w:rsidR="004A194B" w:rsidRPr="006801DE" w:rsidP="0068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94B" w:rsidRPr="006801DE" w:rsidP="0068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Сравнительный анализ данных показывает:</w:t>
      </w:r>
    </w:p>
    <w:p w:rsidR="004A194B" w:rsidRPr="006801DE" w:rsidP="006801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в образцах чая, собранного в окрестностях города Тарко-Сале меньше витамина С по сравнению с чаем из другого региона</w:t>
      </w:r>
      <w:r w:rsidR="008706A2">
        <w:rPr>
          <w:rFonts w:ascii="Times New Roman" w:hAnsi="Times New Roman" w:cs="Times New Roman"/>
          <w:sz w:val="28"/>
          <w:szCs w:val="28"/>
        </w:rPr>
        <w:t xml:space="preserve"> (рис. 3)</w:t>
      </w:r>
      <w:r w:rsidRPr="006801DE">
        <w:rPr>
          <w:rFonts w:ascii="Times New Roman" w:hAnsi="Times New Roman" w:cs="Times New Roman"/>
          <w:sz w:val="28"/>
          <w:szCs w:val="28"/>
        </w:rPr>
        <w:t>;</w:t>
      </w:r>
    </w:p>
    <w:p w:rsidR="004A194B" w:rsidRPr="006801DE" w:rsidP="006801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в чае, обработанном при более высокой температуре больше аскорбиновой кислоты</w:t>
      </w:r>
      <w:r w:rsidR="0023594C">
        <w:rPr>
          <w:rFonts w:ascii="Times New Roman" w:hAnsi="Times New Roman" w:cs="Times New Roman"/>
          <w:sz w:val="28"/>
          <w:szCs w:val="28"/>
        </w:rPr>
        <w:t xml:space="preserve"> (рис.3)</w:t>
      </w:r>
      <w:r w:rsidRPr="006801DE">
        <w:rPr>
          <w:rFonts w:ascii="Times New Roman" w:hAnsi="Times New Roman" w:cs="Times New Roman"/>
          <w:sz w:val="28"/>
          <w:szCs w:val="28"/>
        </w:rPr>
        <w:t>;</w:t>
      </w:r>
    </w:p>
    <w:p w:rsidR="004A194B" w:rsidRPr="006801DE" w:rsidP="006801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для показателей «общая минерализация» и «кислотность» ярко выраженной зависимости от региона произрастания и способа обработки не обнаружено</w:t>
      </w:r>
      <w:r w:rsidR="008706A2">
        <w:rPr>
          <w:rFonts w:ascii="Times New Roman" w:hAnsi="Times New Roman" w:cs="Times New Roman"/>
          <w:sz w:val="28"/>
          <w:szCs w:val="28"/>
        </w:rPr>
        <w:t xml:space="preserve"> (рис. 1-2)</w:t>
      </w:r>
      <w:r w:rsidRPr="006801DE">
        <w:rPr>
          <w:rFonts w:ascii="Times New Roman" w:hAnsi="Times New Roman" w:cs="Times New Roman"/>
          <w:sz w:val="28"/>
          <w:szCs w:val="28"/>
        </w:rPr>
        <w:t>.</w:t>
      </w:r>
    </w:p>
    <w:p w:rsidR="004A194B" w:rsidRPr="006801DE" w:rsidP="00870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6A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24400" cy="2286000"/>
            <wp:effectExtent l="0" t="0" r="0" b="0"/>
            <wp:docPr id="155892880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706A2" w:rsidP="00870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Сравнительная характеристика образов по показателю «общая минерализация»</w:t>
      </w:r>
    </w:p>
    <w:p w:rsidR="008706A2" w:rsidP="00870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6A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0" cy="2371725"/>
            <wp:effectExtent l="0" t="0" r="0" b="9525"/>
            <wp:docPr id="84939344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06A2" w:rsidP="00870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2. Сравнительная характеристика кислотности образов </w:t>
      </w:r>
    </w:p>
    <w:p w:rsidR="008706A2" w:rsidRPr="008706A2" w:rsidP="00870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5200" distR="115200" simplePos="0" relativeHeight="251664384" behindDoc="0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posOffset>2540</wp:posOffset>
            </wp:positionV>
            <wp:extent cx="4983480" cy="2712085"/>
            <wp:effectExtent l="0" t="0" r="7620" b="12065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8BF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8BF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8BF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8BF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706A2">
        <w:rPr>
          <w:rFonts w:ascii="Times New Roman" w:hAnsi="Times New Roman" w:cs="Times New Roman"/>
          <w:sz w:val="28"/>
          <w:szCs w:val="28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. </w:t>
      </w:r>
      <w:r w:rsidR="008706A2">
        <w:rPr>
          <w:rFonts w:ascii="Times New Roman" w:hAnsi="Times New Roman" w:cs="Times New Roman"/>
          <w:sz w:val="28"/>
          <w:szCs w:val="28"/>
        </w:rPr>
        <w:t>Сравнительная характеристика по с</w:t>
      </w:r>
      <w:r w:rsidRPr="006801DE">
        <w:rPr>
          <w:rFonts w:ascii="Times New Roman" w:hAnsi="Times New Roman" w:cs="Times New Roman"/>
          <w:sz w:val="28"/>
          <w:szCs w:val="28"/>
        </w:rPr>
        <w:t>одержани</w:t>
      </w:r>
      <w:r w:rsidR="008706A2">
        <w:rPr>
          <w:rFonts w:ascii="Times New Roman" w:hAnsi="Times New Roman" w:cs="Times New Roman"/>
          <w:sz w:val="28"/>
          <w:szCs w:val="28"/>
        </w:rPr>
        <w:t>ю</w:t>
      </w:r>
      <w:r w:rsidRPr="006801DE">
        <w:rPr>
          <w:rFonts w:ascii="Times New Roman" w:hAnsi="Times New Roman" w:cs="Times New Roman"/>
          <w:sz w:val="28"/>
          <w:szCs w:val="28"/>
        </w:rPr>
        <w:t xml:space="preserve"> витамина С 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 анализа: содержание витамина «С» в 100 см3 настоя из иван-чая составляет от 9 до 17 мг. Суточная потребность взрослого человека в витамине «С» около 60 мг, следовательно, человеку достаточно выпивать 350 до 700 мл напитка в день. В пересчете на сухое вещество, предположив, что весь витамин «С» </w:t>
      </w:r>
      <w:r w:rsidRPr="006801DE">
        <w:rPr>
          <w:rFonts w:ascii="Times New Roman" w:hAnsi="Times New Roman" w:cs="Times New Roman"/>
          <w:sz w:val="28"/>
          <w:szCs w:val="28"/>
          <w:highlight w:val="white"/>
        </w:rPr>
        <w:t xml:space="preserve">экстрагировался из сухого сырья в воду получены следующие данные: в 100 г иван-чая содержится от </w:t>
      </w:r>
      <w:r w:rsidRPr="006801DE" w:rsidR="00577824">
        <w:rPr>
          <w:rFonts w:ascii="Times New Roman" w:hAnsi="Times New Roman" w:cs="Times New Roman"/>
          <w:sz w:val="28"/>
          <w:szCs w:val="28"/>
          <w:highlight w:val="white"/>
        </w:rPr>
        <w:t>455</w:t>
      </w:r>
      <w:r w:rsidRPr="006801DE">
        <w:rPr>
          <w:rFonts w:ascii="Times New Roman" w:hAnsi="Times New Roman" w:cs="Times New Roman"/>
          <w:sz w:val="28"/>
          <w:szCs w:val="28"/>
          <w:highlight w:val="white"/>
        </w:rPr>
        <w:t xml:space="preserve"> до </w:t>
      </w:r>
      <w:r w:rsidRPr="006801DE" w:rsidR="009A4A6B">
        <w:rPr>
          <w:rFonts w:ascii="Times New Roman" w:hAnsi="Times New Roman" w:cs="Times New Roman"/>
          <w:sz w:val="28"/>
          <w:szCs w:val="28"/>
          <w:highlight w:val="white"/>
        </w:rPr>
        <w:t>840</w:t>
      </w:r>
      <w:r w:rsidRPr="006801DE">
        <w:rPr>
          <w:rFonts w:ascii="Times New Roman" w:hAnsi="Times New Roman" w:cs="Times New Roman"/>
          <w:sz w:val="28"/>
          <w:szCs w:val="28"/>
          <w:highlight w:val="white"/>
        </w:rPr>
        <w:t xml:space="preserve"> мг аскорбиновой кислоты.</w:t>
      </w:r>
    </w:p>
    <w:p w:rsidR="004A194B" w:rsidRPr="007228BF" w:rsidP="007228BF">
      <w:pPr>
        <w:pStyle w:val="Heading1"/>
      </w:pPr>
      <w:bookmarkStart w:id="8" w:name="_Toc212831342"/>
      <w:r w:rsidRPr="007228BF">
        <w:t>Заключение</w:t>
      </w:r>
      <w:bookmarkEnd w:id="8"/>
    </w:p>
    <w:p w:rsidR="004A194B" w:rsidRPr="006801DE" w:rsidP="006801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>По результатам исследования мы можем сделать следующие выводы:</w:t>
      </w:r>
    </w:p>
    <w:p w:rsidR="004A194B" w:rsidRPr="006801DE" w:rsidP="006801DE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в</w:t>
      </w: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составе иван-чая много полезных веществ с лечебным эффектом, благодаря чему он применяется при нервных расстройствах, головной боли, анемии, для повышения иммунитета, а также в качестве противовоспалительного и ранозаживляющего средства;</w:t>
      </w:r>
    </w:p>
    <w:p w:rsidR="004A194B" w:rsidRPr="006801DE" w:rsidP="006801DE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с</w:t>
      </w: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>бор сырья в разных регионах проводился в разное время: в республике Башкортостан в июне-июле, в ЯНАО – в августе; обработка сырья проводилась 3 способами: высушивание при температуре окружающей среды (2-3 дня) , в духовом шкафу при 60-80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˚С (1,5-2 часа)</w:t>
      </w: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и ферментация с последующем высушиванием в духовом шкафу; потеря влаги составила около 70%</w:t>
      </w:r>
    </w:p>
    <w:p w:rsidR="004A194B" w:rsidRPr="006801DE" w:rsidP="006801DE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>ч</w:t>
      </w: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>ем выше температура высушивания</w:t>
      </w:r>
      <w:r w:rsidR="0023594C">
        <w:rPr>
          <w:rFonts w:ascii="Times New Roman" w:eastAsia="Liberation Sans" w:hAnsi="Times New Roman" w:cs="Times New Roman"/>
          <w:sz w:val="28"/>
          <w:szCs w:val="28"/>
          <w:highlight w:val="white"/>
        </w:rPr>
        <w:t>,</w:t>
      </w: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тем темнее цвет сырья (изменяется от зеленого до коричневого), </w:t>
      </w:r>
      <w:r w:rsidR="0023594C">
        <w:rPr>
          <w:rFonts w:ascii="Times New Roman" w:eastAsia="Liberation Sans" w:hAnsi="Times New Roman" w:cs="Times New Roman"/>
          <w:sz w:val="28"/>
          <w:szCs w:val="28"/>
          <w:highlight w:val="white"/>
        </w:rPr>
        <w:t>слабее</w:t>
      </w: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травяной аромат; после ферментации сырье приобретает ягодный аромат, коричневый оттенок и темнеет</w:t>
      </w:r>
      <w:r w:rsidR="0023594C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сильнее всего</w:t>
      </w:r>
      <w:r w:rsidRPr="006801DE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; </w:t>
      </w:r>
    </w:p>
    <w:p w:rsidR="004A194B" w:rsidRPr="006801DE" w:rsidP="006801DE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594C">
        <w:rPr>
          <w:rFonts w:ascii="Times New Roman" w:eastAsia="Liberation Sans" w:hAnsi="Times New Roman" w:cs="Times New Roman"/>
          <w:sz w:val="28"/>
          <w:szCs w:val="28"/>
        </w:rPr>
        <w:t>цвет и вкус напитка зависят от способа обработки в целом: чем выше температура, тем ярче оттенки (от желто-коричневого до красно-коричневого), тем более выражен фруктово-ягодный вкус, самый насыщенный ягодный вкус после ферментации; при низкой температуре обработки сырья напитки более светлых оттенков, мутные, сохраняют аромат травы, влияние измельчения сырья неоднозначно</w:t>
      </w:r>
      <w:r w:rsidRPr="006801DE" w:rsidR="00985F13">
        <w:rPr>
          <w:rFonts w:ascii="Times New Roman" w:eastAsia="Liberation Sans" w:hAnsi="Times New Roman" w:cs="Times New Roman"/>
          <w:sz w:val="28"/>
          <w:szCs w:val="28"/>
        </w:rPr>
        <w:t>;</w:t>
      </w:r>
    </w:p>
    <w:p w:rsidR="004A194B" w:rsidP="006801DE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ярко-выраженной зависимости химических свойств напитков </w:t>
      </w:r>
      <w:r w:rsidRPr="0023594C" w:rsidR="0023594C">
        <w:rPr>
          <w:rFonts w:ascii="Times New Roman" w:eastAsia="Liberation Sans" w:hAnsi="Times New Roman" w:cs="Times New Roman"/>
          <w:sz w:val="28"/>
          <w:szCs w:val="28"/>
        </w:rPr>
        <w:t>от региона произрастания</w:t>
      </w:r>
      <w:r w:rsidR="0023594C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>не выявлено, за исключением содержания витамина С, его больше в напитках из сырья</w:t>
      </w:r>
      <w:r w:rsidR="0023594C">
        <w:rPr>
          <w:rFonts w:ascii="Times New Roman" w:eastAsia="Liberation Sans" w:hAnsi="Times New Roman" w:cs="Times New Roman"/>
          <w:sz w:val="28"/>
          <w:szCs w:val="28"/>
        </w:rPr>
        <w:t>,</w:t>
      </w:r>
      <w:r w:rsidRPr="006801DE">
        <w:rPr>
          <w:rFonts w:ascii="Times New Roman" w:eastAsia="Liberation Sans" w:hAnsi="Times New Roman" w:cs="Times New Roman"/>
          <w:sz w:val="28"/>
          <w:szCs w:val="28"/>
        </w:rPr>
        <w:t xml:space="preserve"> собранного в республике Башкортостан; в целом </w:t>
      </w:r>
      <w:r w:rsidRPr="006801DE">
        <w:rPr>
          <w:rFonts w:ascii="Times New Roman" w:hAnsi="Times New Roman" w:cs="Times New Roman"/>
          <w:sz w:val="28"/>
          <w:szCs w:val="28"/>
          <w:highlight w:val="white"/>
        </w:rPr>
        <w:t xml:space="preserve">содержание витамина «С» в 100 см3 настоя из </w:t>
      </w:r>
      <w:r w:rsidRPr="006801DE" w:rsidR="009A4A6B">
        <w:rPr>
          <w:rFonts w:ascii="Times New Roman" w:hAnsi="Times New Roman" w:cs="Times New Roman"/>
          <w:sz w:val="28"/>
          <w:szCs w:val="28"/>
          <w:highlight w:val="white"/>
        </w:rPr>
        <w:t>иван-чая составляет от 9 до 17</w:t>
      </w:r>
      <w:r w:rsidRPr="006801DE">
        <w:rPr>
          <w:rFonts w:ascii="Times New Roman" w:hAnsi="Times New Roman" w:cs="Times New Roman"/>
          <w:sz w:val="28"/>
          <w:szCs w:val="28"/>
          <w:highlight w:val="white"/>
        </w:rPr>
        <w:t>мг</w:t>
      </w:r>
      <w:r w:rsidRPr="006801DE">
        <w:rPr>
          <w:rFonts w:ascii="Times New Roman" w:hAnsi="Times New Roman" w:cs="Times New Roman"/>
          <w:sz w:val="28"/>
          <w:szCs w:val="28"/>
        </w:rPr>
        <w:t xml:space="preserve">, а в </w:t>
      </w:r>
      <w:r w:rsidRPr="006801DE">
        <w:rPr>
          <w:rFonts w:ascii="Times New Roman" w:hAnsi="Times New Roman" w:cs="Times New Roman"/>
          <w:sz w:val="28"/>
          <w:szCs w:val="28"/>
          <w:highlight w:val="white"/>
        </w:rPr>
        <w:t xml:space="preserve">100 г сухого сырья содержится от </w:t>
      </w:r>
      <w:r w:rsidRPr="006801DE" w:rsidR="009A4A6B">
        <w:rPr>
          <w:rFonts w:ascii="Times New Roman" w:hAnsi="Times New Roman" w:cs="Times New Roman"/>
          <w:sz w:val="28"/>
          <w:szCs w:val="28"/>
          <w:highlight w:val="white"/>
        </w:rPr>
        <w:t>455</w:t>
      </w:r>
      <w:r w:rsidRPr="006801DE">
        <w:rPr>
          <w:rFonts w:ascii="Times New Roman" w:hAnsi="Times New Roman" w:cs="Times New Roman"/>
          <w:sz w:val="28"/>
          <w:szCs w:val="28"/>
          <w:highlight w:val="white"/>
        </w:rPr>
        <w:t xml:space="preserve"> до </w:t>
      </w:r>
      <w:r w:rsidRPr="006801DE" w:rsidR="009A4A6B">
        <w:rPr>
          <w:rFonts w:ascii="Times New Roman" w:hAnsi="Times New Roman" w:cs="Times New Roman"/>
          <w:sz w:val="28"/>
          <w:szCs w:val="28"/>
          <w:highlight w:val="white"/>
        </w:rPr>
        <w:t>840</w:t>
      </w:r>
      <w:r w:rsidRPr="006801DE">
        <w:rPr>
          <w:rFonts w:ascii="Times New Roman" w:hAnsi="Times New Roman" w:cs="Times New Roman"/>
          <w:sz w:val="28"/>
          <w:szCs w:val="28"/>
          <w:highlight w:val="white"/>
        </w:rPr>
        <w:t xml:space="preserve"> мг аскорбиновой кислоты.</w:t>
      </w:r>
    </w:p>
    <w:p w:rsidR="0023594C" w:rsidP="0023594C">
      <w:pPr>
        <w:pStyle w:val="ListParagraph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гипотеза подтвердилась частично. Не для всех свойств выявлена зависимость от региона произрастания, однако способ обработки сырья и </w:t>
      </w:r>
      <w:r>
        <w:rPr>
          <w:rFonts w:ascii="Times New Roman" w:hAnsi="Times New Roman" w:cs="Times New Roman"/>
          <w:sz w:val="28"/>
          <w:szCs w:val="28"/>
        </w:rPr>
        <w:t>заготавливания</w:t>
      </w:r>
      <w:r>
        <w:rPr>
          <w:rFonts w:ascii="Times New Roman" w:hAnsi="Times New Roman" w:cs="Times New Roman"/>
          <w:sz w:val="28"/>
          <w:szCs w:val="28"/>
        </w:rPr>
        <w:t xml:space="preserve"> заварки однозначно определяют цвет, аромат и насыщенность вкуса напитка из иван-чая. </w:t>
      </w:r>
    </w:p>
    <w:p w:rsidR="0023594C" w:rsidRPr="0023594C" w:rsidP="0023594C">
      <w:pPr>
        <w:pStyle w:val="ListParagraph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работы составлена чайная карта, которая доступна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-коду</w:t>
      </w:r>
      <w:r w:rsidR="00570858">
        <w:rPr>
          <w:rFonts w:ascii="Times New Roman" w:hAnsi="Times New Roman" w:cs="Times New Roman"/>
          <w:sz w:val="28"/>
          <w:szCs w:val="28"/>
        </w:rPr>
        <w:t xml:space="preserve"> (рис. 4-5) и проведены мастер-классы с дегустацией в рамках дня открытых дверей МБОУ ДО «ЦЕН».</w:t>
      </w:r>
    </w:p>
    <w:p w:rsidR="0023594C" w:rsidP="0057085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676400" cy="1676400"/>
            <wp:effectExtent l="0" t="0" r="0" b="0"/>
            <wp:docPr id="155720820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2" cy="167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58" w:rsidP="0057085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 Чайная карта. </w:t>
      </w:r>
    </w:p>
    <w:p w:rsidR="00570858" w:rsidP="0057085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90934" cy="4305300"/>
            <wp:effectExtent l="0" t="0" r="0" b="0"/>
            <wp:docPr id="8719456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656" cy="431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858" w:rsidP="0057085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77000" cy="4400550"/>
            <wp:effectExtent l="0" t="0" r="0" b="0"/>
            <wp:docPr id="10914497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858" w:rsidRPr="0023594C" w:rsidP="0057085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5. Изображение чайной карты в виде буклета.</w:t>
      </w:r>
    </w:p>
    <w:p w:rsidR="004A194B" w:rsidRPr="007228BF" w:rsidP="007228BF">
      <w:pPr>
        <w:pStyle w:val="Heading1"/>
      </w:pPr>
      <w:bookmarkStart w:id="9" w:name="_Toc212831343"/>
      <w:r w:rsidRPr="007228BF">
        <w:t>Список использованных источников и литературы</w:t>
      </w:r>
      <w:bookmarkEnd w:id="9"/>
    </w:p>
    <w:p w:rsidR="004A194B" w:rsidRPr="006801DE" w:rsidP="007228B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Зайцев В. Б. Иван-чай. Защитник от 100 болезней. – М.: 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РиПОЛ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 xml:space="preserve"> классик, 2013.Верзилин Н.М. «По следам Робинзона». – Минск: «Народная Света», 1982. – С. 94.</w:t>
      </w:r>
    </w:p>
    <w:p w:rsidR="004A194B" w:rsidRPr="006801DE" w:rsidP="007228B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Химические свойства иван-чая. – </w:t>
      </w:r>
      <w:r w:rsidRPr="006801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8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fldChar w:fldCharType="begin"/>
      </w:r>
      <w:r>
        <w:instrText xml:space="preserve"> HYPERLINK "https://studfile.net/preview/2783593/" \o "https://studfile.net/preview/2783593/" </w:instrText>
      </w:r>
      <w:r>
        <w:fldChar w:fldCharType="separate"/>
      </w:r>
      <w:r w:rsidRPr="006801DE">
        <w:rPr>
          <w:rStyle w:val="Hyperlink"/>
          <w:rFonts w:ascii="Times New Roman" w:hAnsi="Times New Roman" w:cs="Times New Roman"/>
          <w:sz w:val="28"/>
          <w:szCs w:val="28"/>
        </w:rPr>
        <w:t>https://studfile.net/preview/2783593/</w:t>
      </w:r>
      <w:r>
        <w:fldChar w:fldCharType="end"/>
      </w:r>
      <w:r w:rsidRPr="00680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12.09.2024)</w:t>
      </w:r>
    </w:p>
    <w:p w:rsidR="004A194B" w:rsidRPr="006801DE" w:rsidP="007228B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Ферментация – это... Определение и описание процесса.URL: https://www.syl.ru/article/311303/fermentatsiya---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eto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-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opredelenie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-i-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opisanie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-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protsessa</w:t>
      </w:r>
      <w:r w:rsidRPr="006801DE">
        <w:rPr>
          <w:rFonts w:ascii="Times New Roman" w:eastAsia="Liberation Sans" w:hAnsi="Times New Roman" w:cs="Times New Roman"/>
          <w:color w:val="000000" w:themeColor="text1"/>
          <w:sz w:val="28"/>
          <w:szCs w:val="28"/>
        </w:rPr>
        <w:t>, (дата обращения 12.09.2024).</w:t>
      </w:r>
    </w:p>
    <w:p w:rsidR="004A194B" w:rsidRPr="006801DE" w:rsidP="007228B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Ягольник</w:t>
      </w:r>
      <w:r w:rsidRPr="006801DE">
        <w:rPr>
          <w:rFonts w:ascii="Times New Roman" w:hAnsi="Times New Roman" w:cs="Times New Roman"/>
          <w:sz w:val="28"/>
          <w:szCs w:val="28"/>
        </w:rPr>
        <w:t xml:space="preserve"> Елена Андреевна, Ноздрина Мария Андреевна, </w:t>
      </w:r>
      <w:r w:rsidRPr="006801DE">
        <w:rPr>
          <w:rFonts w:ascii="Times New Roman" w:hAnsi="Times New Roman" w:cs="Times New Roman"/>
          <w:sz w:val="28"/>
          <w:szCs w:val="28"/>
        </w:rPr>
        <w:t>Волдаева</w:t>
      </w:r>
      <w:r w:rsidRPr="006801DE">
        <w:rPr>
          <w:rFonts w:ascii="Times New Roman" w:hAnsi="Times New Roman" w:cs="Times New Roman"/>
          <w:sz w:val="28"/>
          <w:szCs w:val="28"/>
        </w:rPr>
        <w:t xml:space="preserve"> Светлана Юрьевна ПОКАЗАТЕЛИ КАЧЕСТВА КОПОРСКОГО ЧАЯ ПРИ РАЗНЫХ СПОСОБАХ ФЕРМЕНТАЦИИ // Известия </w:t>
      </w:r>
      <w:r w:rsidRPr="006801DE">
        <w:rPr>
          <w:rFonts w:ascii="Times New Roman" w:hAnsi="Times New Roman" w:cs="Times New Roman"/>
          <w:sz w:val="28"/>
          <w:szCs w:val="28"/>
        </w:rPr>
        <w:t>ТулГУ</w:t>
      </w:r>
      <w:r w:rsidRPr="006801DE">
        <w:rPr>
          <w:rFonts w:ascii="Times New Roman" w:hAnsi="Times New Roman" w:cs="Times New Roman"/>
          <w:sz w:val="28"/>
          <w:szCs w:val="28"/>
        </w:rPr>
        <w:t xml:space="preserve">. Естественные науки. 2021. №1. URL: </w:t>
      </w:r>
      <w:r>
        <w:fldChar w:fldCharType="begin"/>
      </w:r>
      <w:r>
        <w:instrText xml:space="preserve"> HYPERLINK "https://cyberleninka.ru/article/n/pokazateli-kachestva-koporskogo-chaya-pri-raznyh-sposobah-fermentatsii" \o "https://cyberleninka.ru/article/n/pokazateli-kachestva-koporskogo-chaya-pri-raznyh-sposobah-fermentatsii" </w:instrText>
      </w:r>
      <w:r>
        <w:fldChar w:fldCharType="separate"/>
      </w:r>
      <w:r w:rsidRPr="006801DE">
        <w:rPr>
          <w:rStyle w:val="Hyperlink"/>
          <w:rFonts w:ascii="Times New Roman" w:hAnsi="Times New Roman" w:cs="Times New Roman"/>
          <w:sz w:val="28"/>
          <w:szCs w:val="28"/>
        </w:rPr>
        <w:t>https://cyberleninka.ru/article/n/pokazateli-kachestva-koporskogo-chaya-pri-raznyh-sposobah-fermentatsii</w:t>
      </w:r>
      <w:r>
        <w:fldChar w:fldCharType="end"/>
      </w:r>
      <w:r w:rsidRPr="006801DE">
        <w:rPr>
          <w:rFonts w:ascii="Times New Roman" w:hAnsi="Times New Roman" w:cs="Times New Roman"/>
          <w:sz w:val="28"/>
          <w:szCs w:val="28"/>
        </w:rPr>
        <w:t xml:space="preserve">  (дата обращения: 27.12.2024).</w:t>
      </w:r>
    </w:p>
    <w:p w:rsidR="004A194B" w:rsidRPr="003126F6" w:rsidP="007228B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</w:pBdr>
        <w:spacing w:after="0" w:line="240" w:lineRule="auto"/>
        <w:ind w:left="284" w:hanging="284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801DE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Кипрейский</w:t>
      </w:r>
      <w:r w:rsidRPr="006801DE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чай: приготовление и изучение его качества. </w:t>
      </w:r>
      <w:r w:rsidRPr="006801DE">
        <w:rPr>
          <w:rStyle w:val="Hyperlink"/>
          <w:rFonts w:ascii="Times New Roman" w:eastAsia="Times New Roman" w:hAnsi="Times New Roman" w:cs="Times New Roman"/>
          <w:color w:val="0000EE"/>
          <w:sz w:val="28"/>
          <w:szCs w:val="28"/>
          <w:u w:val="none"/>
        </w:rPr>
        <w:t xml:space="preserve">– </w:t>
      </w:r>
      <w:r w:rsidRPr="006801DE">
        <w:rPr>
          <w:rStyle w:val="Hyperlink"/>
          <w:rFonts w:ascii="Times New Roman" w:eastAsia="Times New Roman" w:hAnsi="Times New Roman" w:cs="Times New Roman"/>
          <w:color w:val="0000EE"/>
          <w:sz w:val="28"/>
          <w:szCs w:val="28"/>
          <w:u w:val="none"/>
          <w:lang w:val="en-US"/>
        </w:rPr>
        <w:t>URL</w:t>
      </w:r>
      <w:r w:rsidRPr="006801DE">
        <w:rPr>
          <w:rStyle w:val="Hyperlink"/>
          <w:rFonts w:ascii="Times New Roman" w:eastAsia="Times New Roman" w:hAnsi="Times New Roman" w:cs="Times New Roman"/>
          <w:color w:val="0000EE"/>
          <w:sz w:val="28"/>
          <w:szCs w:val="28"/>
          <w:u w:val="none"/>
        </w:rPr>
        <w:t xml:space="preserve">: </w:t>
      </w:r>
      <w:r>
        <w:fldChar w:fldCharType="begin"/>
      </w:r>
      <w:r>
        <w:instrText xml:space="preserve"> HYPERLINK "https://school-science.ru/8/1/42984" \o "https://school-science.ru/8/1/42984" </w:instrText>
      </w:r>
      <w:r>
        <w:fldChar w:fldCharType="separate"/>
      </w:r>
      <w:r w:rsidRPr="006801DE">
        <w:rPr>
          <w:rStyle w:val="Hyperlink"/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6801DE">
        <w:rPr>
          <w:rStyle w:val="Hyperlink"/>
          <w:rFonts w:ascii="Times New Roman" w:eastAsia="Times New Roman" w:hAnsi="Times New Roman" w:cs="Times New Roman"/>
          <w:sz w:val="28"/>
          <w:szCs w:val="28"/>
        </w:rPr>
        <w:t>://</w:t>
      </w:r>
      <w:r w:rsidRPr="006801DE">
        <w:rPr>
          <w:rStyle w:val="Hyperlink"/>
          <w:rFonts w:ascii="Times New Roman" w:eastAsia="Times New Roman" w:hAnsi="Times New Roman" w:cs="Times New Roman"/>
          <w:sz w:val="28"/>
          <w:szCs w:val="28"/>
          <w:lang w:val="en-US"/>
        </w:rPr>
        <w:t>school</w:t>
      </w:r>
      <w:r w:rsidRPr="006801DE">
        <w:rPr>
          <w:rStyle w:val="Hyperlink"/>
          <w:rFonts w:ascii="Times New Roman" w:eastAsia="Times New Roman" w:hAnsi="Times New Roman" w:cs="Times New Roman"/>
          <w:sz w:val="28"/>
          <w:szCs w:val="28"/>
        </w:rPr>
        <w:t>-</w:t>
      </w:r>
      <w:r w:rsidRPr="006801DE">
        <w:rPr>
          <w:rStyle w:val="Hyperlink"/>
          <w:rFonts w:ascii="Times New Roman" w:eastAsia="Times New Roman" w:hAnsi="Times New Roman" w:cs="Times New Roman"/>
          <w:sz w:val="28"/>
          <w:szCs w:val="28"/>
          <w:lang w:val="en-US"/>
        </w:rPr>
        <w:t>science</w:t>
      </w:r>
      <w:r w:rsidRPr="006801DE">
        <w:rPr>
          <w:rStyle w:val="Hyperlink"/>
          <w:rFonts w:ascii="Times New Roman" w:eastAsia="Times New Roman" w:hAnsi="Times New Roman" w:cs="Times New Roman"/>
          <w:sz w:val="28"/>
          <w:szCs w:val="28"/>
        </w:rPr>
        <w:t>.</w:t>
      </w:r>
      <w:r w:rsidRPr="006801DE">
        <w:rPr>
          <w:rStyle w:val="Hyperlink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6801DE">
        <w:rPr>
          <w:rStyle w:val="Hyperlink"/>
          <w:rFonts w:ascii="Times New Roman" w:eastAsia="Times New Roman" w:hAnsi="Times New Roman" w:cs="Times New Roman"/>
          <w:sz w:val="28"/>
          <w:szCs w:val="28"/>
        </w:rPr>
        <w:t>/8/1/42984</w:t>
      </w:r>
      <w:r>
        <w:fldChar w:fldCharType="end"/>
      </w:r>
      <w:r w:rsidRPr="006801DE">
        <w:rPr>
          <w:rStyle w:val="Hyperlink"/>
          <w:rFonts w:ascii="Times New Roman" w:eastAsia="Times New Roman" w:hAnsi="Times New Roman" w:cs="Times New Roman"/>
          <w:color w:val="0000EE"/>
          <w:sz w:val="28"/>
          <w:szCs w:val="28"/>
          <w:u w:val="none"/>
        </w:rPr>
        <w:t xml:space="preserve"> </w:t>
      </w:r>
      <w:r w:rsidRPr="006801DE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(дата обращения 24.09.2024)</w:t>
      </w:r>
    </w:p>
    <w:p w:rsidR="003126F6" w:rsidRPr="003126F6" w:rsidP="003126F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</w:pBdr>
        <w:spacing w:after="0" w:line="240" w:lineRule="auto"/>
        <w:ind w:left="284" w:hanging="284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126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ГОСТ 24556-89 Продукты переработки плодов и овощей. Методы определения витамина C. – Дата изд. 01.04.2003г.</w:t>
      </w:r>
    </w:p>
    <w:p w:rsidR="003126F6" w:rsidRPr="003126F6" w:rsidP="003126F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</w:pBdr>
        <w:spacing w:after="0" w:line="240" w:lineRule="auto"/>
        <w:ind w:left="284" w:hanging="284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126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Сергатенко</w:t>
      </w:r>
      <w:r w:rsidRPr="003126F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М.А. СРАВНЕНИЕ МЕТОДОВ ОПРЕДЕЛЕНИЯ ВИТАМИНА С// Материалы VI Международной студенческой научной конференции «В мире научных открытий»</w:t>
      </w:r>
    </w:p>
    <w:p w:rsidR="004A194B" w:rsidP="003126F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Государственная Фармакопея Российской Федерации XIII, том II. Общие методы анализа. – М.: ФЭМБ, 2015. – 1292 с.</w:t>
      </w:r>
    </w:p>
    <w:p w:rsidR="003126F6" w:rsidRPr="003126F6" w:rsidP="003126F6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126F6">
        <w:rPr>
          <w:rFonts w:ascii="Times New Roman" w:hAnsi="Times New Roman" w:cs="Times New Roman"/>
          <w:sz w:val="28"/>
          <w:szCs w:val="28"/>
        </w:rPr>
        <w:t xml:space="preserve">ГОСТ 18164-72. Вода питьевая. Метод определения содержания сухого остатка. – </w:t>
      </w:r>
      <w:r w:rsidRPr="003126F6">
        <w:rPr>
          <w:rFonts w:ascii="Times New Roman" w:hAnsi="Times New Roman" w:cs="Times New Roman"/>
          <w:sz w:val="28"/>
          <w:szCs w:val="28"/>
        </w:rPr>
        <w:t>Введ</w:t>
      </w:r>
      <w:r w:rsidRPr="003126F6">
        <w:rPr>
          <w:rFonts w:ascii="Times New Roman" w:hAnsi="Times New Roman" w:cs="Times New Roman"/>
          <w:sz w:val="28"/>
          <w:szCs w:val="28"/>
        </w:rPr>
        <w:t>. 1974-01-01. - М.: Изд-во стандартов, 2003. – 4с.</w:t>
      </w:r>
    </w:p>
    <w:p w:rsidR="004A194B" w:rsidRPr="006801DE" w:rsidP="0068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br w:type="page"/>
      </w:r>
    </w:p>
    <w:p w:rsidR="004A194B" w:rsidRPr="006801DE" w:rsidP="007228BF">
      <w:pPr>
        <w:pStyle w:val="Heading1"/>
        <w:jc w:val="right"/>
      </w:pPr>
      <w:bookmarkStart w:id="10" w:name="_Toc212831344"/>
      <w:r w:rsidRPr="006801DE">
        <w:t>Приложение</w:t>
      </w:r>
      <w:bookmarkEnd w:id="10"/>
    </w:p>
    <w:p w:rsidR="004A194B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Определение органолептических и химических свойств образцов обработанного растительного сырья и напитков.</w:t>
      </w:r>
    </w:p>
    <w:p w:rsidR="007228BF" w:rsidRPr="006801DE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34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1972884"/>
                  <wp:effectExtent l="0" t="0" r="0" b="8890"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346" cy="197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Look w:val="04A0"/>
        </w:tblPrEx>
        <w:tc>
          <w:tcPr>
            <w:tcW w:w="934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Рисунок 1. Внешний вид Кипрея узколистного</w:t>
            </w:r>
          </w:p>
        </w:tc>
      </w:tr>
    </w:tbl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3472"/>
        <w:gridCol w:w="2900"/>
        <w:gridCol w:w="11"/>
      </w:tblGrid>
      <w:tr w:rsidTr="00B177E1">
        <w:tblPrEx>
          <w:tblW w:w="103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11" w:type="dxa"/>
        </w:trPr>
        <w:tc>
          <w:tcPr>
            <w:tcW w:w="10336" w:type="dxa"/>
            <w:gridSpan w:val="3"/>
          </w:tcPr>
          <w:p w:rsidR="00B177E1" w:rsidP="006801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>
                  <wp:extent cx="5114925" cy="2163230"/>
                  <wp:effectExtent l="0" t="0" r="0" b="8890"/>
                  <wp:docPr id="16160702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190" cy="2168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7E1" w:rsidRPr="006801DE" w:rsidP="006801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Tr="00B177E1">
        <w:tblPrEx>
          <w:tblW w:w="10347" w:type="dxa"/>
          <w:tblLayout w:type="fixed"/>
          <w:tblLook w:val="04A0"/>
        </w:tblPrEx>
        <w:trPr>
          <w:gridAfter w:val="1"/>
          <w:wAfter w:w="11" w:type="dxa"/>
        </w:trPr>
        <w:tc>
          <w:tcPr>
            <w:tcW w:w="3964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1777" cy="2464560"/>
                  <wp:effectExtent l="0" t="6668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3175" r="3043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1777" cy="246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8502" cy="1114425"/>
                  <wp:effectExtent l="0" t="0" r="698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205" t="10132" r="13531" b="38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815" cy="111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4523" cy="1258038"/>
                  <wp:effectExtent l="7302" t="11748" r="11113" b="11112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5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9484" t="21226" r="15730" b="24890"/>
                          <a:stretch>
                            <a:fillRect/>
                          </a:stretch>
                        </pic:blipFill>
                        <pic:spPr bwMode="auto">
                          <a:xfrm rot="16199999">
                            <a:off x="0" y="0"/>
                            <a:ext cx="1050805" cy="126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B177E1">
        <w:tblPrEx>
          <w:tblW w:w="10347" w:type="dxa"/>
          <w:tblLayout w:type="fixed"/>
          <w:tblLook w:val="04A0"/>
        </w:tblPrEx>
        <w:tc>
          <w:tcPr>
            <w:tcW w:w="10347" w:type="dxa"/>
            <w:gridSpan w:val="4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Рисунок 2. Внешний вид обработанного сырья иван-чая номера образцов слева направо: 3, 4, 5, 6, 7</w:t>
            </w:r>
          </w:p>
        </w:tc>
      </w:tr>
      <w:tr w:rsidTr="00B177E1">
        <w:tblPrEx>
          <w:tblW w:w="10347" w:type="dxa"/>
          <w:tblLayout w:type="fixed"/>
          <w:tblLook w:val="04A0"/>
        </w:tblPrEx>
        <w:tc>
          <w:tcPr>
            <w:tcW w:w="10347" w:type="dxa"/>
            <w:gridSpan w:val="4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7915" cy="2222946"/>
                  <wp:effectExtent l="7937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rcRect l="4603" t="6242" r="1763" b="9781"/>
                          <a:stretch>
                            <a:fillRect/>
                          </a:stretch>
                        </pic:blipFill>
                        <pic:spPr bwMode="auto">
                          <a:xfrm rot="16199999">
                            <a:off x="0" y="0"/>
                            <a:ext cx="1859819" cy="222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B177E1">
        <w:tblPrEx>
          <w:tblW w:w="10347" w:type="dxa"/>
          <w:tblLayout w:type="fixed"/>
          <w:tblLook w:val="04A0"/>
        </w:tblPrEx>
        <w:tc>
          <w:tcPr>
            <w:tcW w:w="10347" w:type="dxa"/>
            <w:gridSpan w:val="4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Рисунок 3. Внешний вид обработанного сырья иван-чая - образец 1.</w:t>
            </w:r>
          </w:p>
        </w:tc>
      </w:tr>
    </w:tbl>
    <w:p w:rsidR="004A194B" w:rsidRPr="006801DE" w:rsidP="00680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6"/>
        <w:gridCol w:w="3458"/>
        <w:gridCol w:w="3438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03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4872" cy="1647825"/>
                  <wp:effectExtent l="0" t="0" r="762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rcRect l="14776" r="4561" b="9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406" cy="165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59022" cy="1581150"/>
                  <wp:effectExtent l="0" t="0" r="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rcRect l="11820" t="6754" r="4587" b="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94" cy="159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46483" cy="1524000"/>
                  <wp:effectExtent l="0" t="0" r="0" b="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rcRect l="13602" t="8776" r="5647" b="11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977" cy="1534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Look w:val="04A0"/>
        </w:tblPrEx>
        <w:tc>
          <w:tcPr>
            <w:tcW w:w="10195" w:type="dxa"/>
            <w:gridSpan w:val="3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Рисунок 4. Сравнение внешнего вида напитков, приготовленных из сырья с разных регионов, но обработанного одинаковым способам слева направо: Бирск и Тарко-Сале ферментированный; Туймазы и Тарко-Сале гранулированный, высушенный при 25; Туймазы и Тарко-Сале высушены при 80</w:t>
            </w:r>
          </w:p>
        </w:tc>
      </w:tr>
    </w:tbl>
    <w:p w:rsidR="004A194B" w:rsidRPr="006801DE" w:rsidP="0068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4"/>
        <w:gridCol w:w="5001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97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42540" cy="1095375"/>
                  <wp:effectExtent l="0" t="0" r="0" b="9525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/>
                          <a:srcRect l="5082" t="20839" r="4983" b="27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709" cy="110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34920" cy="1085850"/>
                  <wp:effectExtent l="0" t="0" r="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rcRect l="2354" t="11505" r="6617" b="3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44" cy="109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Look w:val="04A0"/>
        </w:tblPrEx>
        <w:tc>
          <w:tcPr>
            <w:tcW w:w="5097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62869" cy="1009650"/>
                  <wp:effectExtent l="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rcRect t="25718" b="33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3" cy="1014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30545" cy="1104900"/>
                  <wp:effectExtent l="0" t="0" r="0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rcRect t="23104" b="29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428" cy="11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Look w:val="04A0"/>
        </w:tblPrEx>
        <w:tc>
          <w:tcPr>
            <w:tcW w:w="10195" w:type="dxa"/>
            <w:gridSpan w:val="2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Рисунок 5. Сравнение внешнего вида напитков из сырья одного региона, обработанного в разных условиях слева направо: башкирский, высушенный при 25, при 80, ферментированный и высушенный при 60, местный высушенный при 80, при 25, ферментированный и высушенный при 80</w:t>
            </w:r>
          </w:p>
        </w:tc>
      </w:tr>
    </w:tbl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E">
        <w:rPr>
          <w:rFonts w:ascii="Times New Roman" w:hAnsi="Times New Roman" w:cs="Times New Roman"/>
          <w:b/>
          <w:sz w:val="28"/>
          <w:szCs w:val="28"/>
        </w:rPr>
        <w:t>Методика определения содержания витамина «С».</w:t>
      </w:r>
    </w:p>
    <w:p w:rsidR="004A194B" w:rsidRPr="006801DE" w:rsidP="0068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Ход работы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1. Приготовление растворов </w:t>
      </w:r>
      <w:r w:rsidRPr="006801DE">
        <w:rPr>
          <w:rFonts w:ascii="Times New Roman" w:hAnsi="Times New Roman" w:cs="Times New Roman"/>
          <w:sz w:val="28"/>
          <w:szCs w:val="28"/>
        </w:rPr>
        <w:t>титранта</w:t>
      </w:r>
      <w:r w:rsidRPr="006801DE">
        <w:rPr>
          <w:rFonts w:ascii="Times New Roman" w:hAnsi="Times New Roman" w:cs="Times New Roman"/>
          <w:sz w:val="28"/>
          <w:szCs w:val="28"/>
        </w:rPr>
        <w:t xml:space="preserve"> (раствор йода) и индикатора (раствор крахмала).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Для приготовления 100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 0,001 М раствора I</w:t>
      </w:r>
      <w:r w:rsidRPr="006801D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801DE">
        <w:rPr>
          <w:rFonts w:ascii="Times New Roman" w:hAnsi="Times New Roman" w:cs="Times New Roman"/>
          <w:sz w:val="28"/>
          <w:szCs w:val="28"/>
        </w:rPr>
        <w:t xml:space="preserve"> (</w:t>
      </w:r>
      <w:r w:rsidRPr="006801DE">
        <w:rPr>
          <w:rFonts w:ascii="Times New Roman" w:hAnsi="Times New Roman" w:cs="Times New Roman"/>
          <w:sz w:val="28"/>
          <w:szCs w:val="28"/>
        </w:rPr>
        <w:t>титрант</w:t>
      </w:r>
      <w:r w:rsidRPr="006801DE">
        <w:rPr>
          <w:rFonts w:ascii="Times New Roman" w:hAnsi="Times New Roman" w:cs="Times New Roman"/>
          <w:sz w:val="28"/>
          <w:szCs w:val="28"/>
        </w:rPr>
        <w:t>) необходимо 0,54 г аптечной 5 % настойки йода.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Приготовление раствора крахмала: к 0,5 г крахмала добавляем немного воды, перемешиваем до образования суспензии, которую медленно выливаем в 100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 кипящей воды (при активном перемешивании), кипятим 5 минут. 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2. Подготовка проб для анализа: заваривание 2 г образца иван-чая в 100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6801DE">
        <w:rPr>
          <w:rFonts w:ascii="Times New Roman" w:hAnsi="Times New Roman" w:cs="Times New Roman"/>
          <w:sz w:val="28"/>
          <w:szCs w:val="28"/>
        </w:rPr>
        <w:t xml:space="preserve"> горячей ( 60-70 </w:t>
      </w:r>
      <w:r w:rsidRPr="006801DE">
        <w:rPr>
          <w:rFonts w:ascii="Times New Roman" w:eastAsia="Symbol" w:hAnsi="Times New Roman" w:cs="Times New Roman"/>
          <w:sz w:val="28"/>
          <w:szCs w:val="28"/>
        </w:rPr>
        <w:sym w:font="Times New Roman" w:char="F0B0"/>
      </w:r>
      <w:r w:rsidRPr="006801DE">
        <w:rPr>
          <w:rFonts w:ascii="Times New Roman" w:hAnsi="Times New Roman" w:cs="Times New Roman"/>
          <w:sz w:val="28"/>
          <w:szCs w:val="28"/>
        </w:rPr>
        <w:t>С) дистиллированной воды, настаивание в течение 15 мин., фильтрование, доведение до 100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 дистиллированной водой в мерной колбе..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3. Проведение анализа содержания витамина С в образце: титрование </w:t>
      </w:r>
      <w:r w:rsidRPr="006801DE">
        <w:rPr>
          <w:rFonts w:ascii="Times New Roman" w:hAnsi="Times New Roman" w:cs="Times New Roman"/>
          <w:sz w:val="28"/>
          <w:szCs w:val="28"/>
        </w:rPr>
        <w:t>аликвоты</w:t>
      </w:r>
      <w:r w:rsidRPr="006801DE">
        <w:rPr>
          <w:rFonts w:ascii="Times New Roman" w:hAnsi="Times New Roman" w:cs="Times New Roman"/>
          <w:sz w:val="28"/>
          <w:szCs w:val="28"/>
        </w:rPr>
        <w:t xml:space="preserve"> пробы, запись результатов.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Титрование: бюретку заполняем раствором йода до нулевой отметки. В коническую колбу для титрования с помощью пипетки добавляем пробу образца объемом 10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 и 0,5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 раствора крахмала. Сам процесс титрования проводим </w:t>
      </w:r>
      <w:r w:rsidRPr="006801DE">
        <w:rPr>
          <w:rFonts w:ascii="Times New Roman" w:hAnsi="Times New Roman" w:cs="Times New Roman"/>
          <w:sz w:val="28"/>
          <w:szCs w:val="28"/>
        </w:rPr>
        <w:t>раствором йода при энергичном перемешивании до появления синей окраски, не исчезающей в течение 20 с.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4. Проводим расчет концентрации аскорбиновой кислоты в пробе.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Расчет концентрации аскорбиновой кислоты в пробе проводим по формуле:</w:t>
      </w: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E">
        <w:rPr>
          <w:rFonts w:ascii="Times New Roman" w:hAnsi="Times New Roman" w:cs="Times New Roman"/>
          <w:b/>
          <w:sz w:val="28"/>
          <w:szCs w:val="28"/>
        </w:rPr>
        <w:t>C (вит. С) = C(I</w:t>
      </w:r>
      <w:r w:rsidRPr="006801D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6801DE">
        <w:rPr>
          <w:rFonts w:ascii="Times New Roman" w:hAnsi="Times New Roman" w:cs="Times New Roman"/>
          <w:b/>
          <w:sz w:val="28"/>
          <w:szCs w:val="28"/>
        </w:rPr>
        <w:t>)*</w:t>
      </w:r>
      <w:r w:rsidRPr="006801DE">
        <w:rPr>
          <w:rFonts w:ascii="Times New Roman" w:hAnsi="Times New Roman" w:cs="Times New Roman"/>
          <w:b/>
          <w:sz w:val="28"/>
          <w:szCs w:val="28"/>
        </w:rPr>
        <w:t>V(I</w:t>
      </w:r>
      <w:r w:rsidRPr="006801D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6801DE">
        <w:rPr>
          <w:rFonts w:ascii="Times New Roman" w:hAnsi="Times New Roman" w:cs="Times New Roman"/>
          <w:b/>
          <w:sz w:val="28"/>
          <w:szCs w:val="28"/>
        </w:rPr>
        <w:t>) / V(пробы) = 0,001*V(I</w:t>
      </w:r>
      <w:r w:rsidRPr="006801D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6801DE">
        <w:rPr>
          <w:rFonts w:ascii="Times New Roman" w:hAnsi="Times New Roman" w:cs="Times New Roman"/>
          <w:b/>
          <w:sz w:val="28"/>
          <w:szCs w:val="28"/>
        </w:rPr>
        <w:t>) / V(пробы),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где </w:t>
      </w:r>
      <w:r w:rsidRPr="006801DE">
        <w:rPr>
          <w:rFonts w:ascii="Times New Roman" w:hAnsi="Times New Roman" w:cs="Times New Roman"/>
          <w:sz w:val="28"/>
          <w:szCs w:val="28"/>
        </w:rPr>
        <w:t>c(</w:t>
      </w:r>
      <w:r w:rsidRPr="006801DE">
        <w:rPr>
          <w:rFonts w:ascii="Times New Roman" w:hAnsi="Times New Roman" w:cs="Times New Roman"/>
          <w:sz w:val="28"/>
          <w:szCs w:val="28"/>
        </w:rPr>
        <w:t>вит. С) – концентрация витамина С, моль/л;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V(I2) – объем раствора йода, который пошел на титрование,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>;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C(I2) – концентрация раствора йода, моль/л;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V(пробы) – объем </w:t>
      </w:r>
      <w:r w:rsidRPr="006801DE">
        <w:rPr>
          <w:rFonts w:ascii="Times New Roman" w:hAnsi="Times New Roman" w:cs="Times New Roman"/>
          <w:sz w:val="28"/>
          <w:szCs w:val="28"/>
        </w:rPr>
        <w:t>аликвоты</w:t>
      </w:r>
      <w:r w:rsidRPr="006801DE">
        <w:rPr>
          <w:rFonts w:ascii="Times New Roman" w:hAnsi="Times New Roman" w:cs="Times New Roman"/>
          <w:sz w:val="28"/>
          <w:szCs w:val="28"/>
        </w:rPr>
        <w:t xml:space="preserve"> пробы,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>.</w:t>
      </w:r>
    </w:p>
    <w:p w:rsidR="004A194B" w:rsidRPr="006801DE" w:rsidP="00680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Далее проводим расчет содержания аскорбиновой кислоты в анализируемом продукте (массы аскорбиновой кислоты (</w:t>
      </w:r>
      <w:r w:rsidRPr="006801DE">
        <w:rPr>
          <w:rFonts w:ascii="Times New Roman" w:hAnsi="Times New Roman" w:cs="Times New Roman"/>
          <w:sz w:val="28"/>
          <w:szCs w:val="28"/>
        </w:rPr>
        <w:t>mc</w:t>
      </w:r>
      <w:r w:rsidRPr="006801DE">
        <w:rPr>
          <w:rFonts w:ascii="Times New Roman" w:hAnsi="Times New Roman" w:cs="Times New Roman"/>
          <w:sz w:val="28"/>
          <w:szCs w:val="28"/>
        </w:rPr>
        <w:t>) в мг на 100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 напитка) по формуле:</w:t>
      </w: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E">
        <w:rPr>
          <w:rFonts w:ascii="Times New Roman" w:hAnsi="Times New Roman" w:cs="Times New Roman"/>
          <w:b/>
          <w:sz w:val="28"/>
          <w:szCs w:val="28"/>
        </w:rPr>
        <w:t>mc</w:t>
      </w:r>
      <w:r w:rsidRPr="006801DE">
        <w:rPr>
          <w:rFonts w:ascii="Times New Roman" w:hAnsi="Times New Roman" w:cs="Times New Roman"/>
          <w:b/>
          <w:sz w:val="28"/>
          <w:szCs w:val="28"/>
        </w:rPr>
        <w:t xml:space="preserve"> = C (вит. </w:t>
      </w:r>
      <w:r w:rsidRPr="006801DE">
        <w:rPr>
          <w:rFonts w:ascii="Times New Roman" w:hAnsi="Times New Roman" w:cs="Times New Roman"/>
          <w:b/>
          <w:sz w:val="28"/>
          <w:szCs w:val="28"/>
        </w:rPr>
        <w:t>С)ср</w:t>
      </w:r>
      <w:r w:rsidRPr="006801DE">
        <w:rPr>
          <w:rFonts w:ascii="Times New Roman" w:hAnsi="Times New Roman" w:cs="Times New Roman"/>
          <w:b/>
          <w:sz w:val="28"/>
          <w:szCs w:val="28"/>
        </w:rPr>
        <w:t>*0.1*М(С</w:t>
      </w:r>
      <w:r w:rsidRPr="006801DE">
        <w:rPr>
          <w:rFonts w:ascii="Times New Roman" w:hAnsi="Times New Roman" w:cs="Times New Roman"/>
          <w:b/>
          <w:sz w:val="28"/>
          <w:szCs w:val="28"/>
          <w:vertAlign w:val="subscript"/>
        </w:rPr>
        <w:t>6</w:t>
      </w:r>
      <w:r w:rsidRPr="006801DE">
        <w:rPr>
          <w:rFonts w:ascii="Times New Roman" w:hAnsi="Times New Roman" w:cs="Times New Roman"/>
          <w:b/>
          <w:sz w:val="28"/>
          <w:szCs w:val="28"/>
        </w:rPr>
        <w:t>H</w:t>
      </w:r>
      <w:r w:rsidRPr="006801DE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6801DE">
        <w:rPr>
          <w:rFonts w:ascii="Times New Roman" w:hAnsi="Times New Roman" w:cs="Times New Roman"/>
          <w:b/>
          <w:sz w:val="28"/>
          <w:szCs w:val="28"/>
        </w:rPr>
        <w:t>O</w:t>
      </w:r>
      <w:r w:rsidRPr="006801DE">
        <w:rPr>
          <w:rFonts w:ascii="Times New Roman" w:hAnsi="Times New Roman" w:cs="Times New Roman"/>
          <w:b/>
          <w:sz w:val="28"/>
          <w:szCs w:val="28"/>
          <w:vertAlign w:val="subscript"/>
        </w:rPr>
        <w:t>6</w:t>
      </w:r>
      <w:r w:rsidRPr="006801DE">
        <w:rPr>
          <w:rFonts w:ascii="Times New Roman" w:hAnsi="Times New Roman" w:cs="Times New Roman"/>
          <w:b/>
          <w:sz w:val="28"/>
          <w:szCs w:val="28"/>
        </w:rPr>
        <w:t>)*</w:t>
      </w:r>
      <w:r w:rsidRPr="006801DE">
        <w:rPr>
          <w:rFonts w:ascii="Times New Roman" w:hAnsi="Times New Roman" w:cs="Times New Roman"/>
          <w:b/>
          <w:sz w:val="28"/>
          <w:szCs w:val="28"/>
        </w:rPr>
        <w:t>1000,</w:t>
      </w:r>
    </w:p>
    <w:p w:rsidR="004A194B" w:rsidRPr="006801DE" w:rsidP="0068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где М(С</w:t>
      </w:r>
      <w:r w:rsidRPr="006801D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801DE">
        <w:rPr>
          <w:rFonts w:ascii="Times New Roman" w:hAnsi="Times New Roman" w:cs="Times New Roman"/>
          <w:sz w:val="28"/>
          <w:szCs w:val="28"/>
        </w:rPr>
        <w:t>H</w:t>
      </w:r>
      <w:r w:rsidRPr="006801DE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6801DE">
        <w:rPr>
          <w:rFonts w:ascii="Times New Roman" w:hAnsi="Times New Roman" w:cs="Times New Roman"/>
          <w:sz w:val="28"/>
          <w:szCs w:val="28"/>
        </w:rPr>
        <w:t>O</w:t>
      </w:r>
      <w:r w:rsidRPr="006801D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801DE">
        <w:rPr>
          <w:rFonts w:ascii="Times New Roman" w:hAnsi="Times New Roman" w:cs="Times New Roman"/>
          <w:sz w:val="28"/>
          <w:szCs w:val="28"/>
        </w:rPr>
        <w:t>) – молярная масса аскорбиновой кислоты, г/моль.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Рассчитываем количество витамина С в 100 г сухого вещества иван-чая по формуле: </w:t>
      </w:r>
    </w:p>
    <w:p w:rsidR="004A194B" w:rsidRPr="006801DE" w:rsidP="0068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E">
        <w:rPr>
          <w:rFonts w:ascii="Times New Roman" w:hAnsi="Times New Roman" w:cs="Times New Roman"/>
          <w:b/>
          <w:sz w:val="28"/>
          <w:szCs w:val="28"/>
        </w:rPr>
        <w:t xml:space="preserve">m = 100* </w:t>
      </w:r>
      <w:r w:rsidRPr="006801DE">
        <w:rPr>
          <w:rFonts w:ascii="Times New Roman" w:hAnsi="Times New Roman" w:cs="Times New Roman"/>
          <w:b/>
          <w:sz w:val="28"/>
          <w:szCs w:val="28"/>
        </w:rPr>
        <w:t>mc</w:t>
      </w:r>
      <w:r w:rsidRPr="006801DE">
        <w:rPr>
          <w:rFonts w:ascii="Times New Roman" w:hAnsi="Times New Roman" w:cs="Times New Roman"/>
          <w:b/>
          <w:sz w:val="28"/>
          <w:szCs w:val="28"/>
        </w:rPr>
        <w:t>/</w:t>
      </w:r>
      <w:r w:rsidRPr="006801DE">
        <w:rPr>
          <w:rFonts w:ascii="Times New Roman" w:hAnsi="Times New Roman" w:cs="Times New Roman"/>
          <w:b/>
          <w:sz w:val="28"/>
          <w:szCs w:val="28"/>
        </w:rPr>
        <w:t>mи</w:t>
      </w:r>
      <w:r w:rsidRPr="006801DE">
        <w:rPr>
          <w:rFonts w:ascii="Times New Roman" w:hAnsi="Times New Roman" w:cs="Times New Roman"/>
          <w:b/>
          <w:sz w:val="28"/>
          <w:szCs w:val="28"/>
        </w:rPr>
        <w:t>,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>где m – количество витамина С в 100 г иван-чая, мг;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      </w:t>
      </w:r>
      <w:r w:rsidRPr="006801DE">
        <w:rPr>
          <w:rFonts w:ascii="Times New Roman" w:hAnsi="Times New Roman" w:cs="Times New Roman"/>
          <w:sz w:val="28"/>
          <w:szCs w:val="28"/>
        </w:rPr>
        <w:t>mc</w:t>
      </w:r>
      <w:r w:rsidRPr="006801DE">
        <w:rPr>
          <w:rFonts w:ascii="Times New Roman" w:hAnsi="Times New Roman" w:cs="Times New Roman"/>
          <w:sz w:val="28"/>
          <w:szCs w:val="28"/>
        </w:rPr>
        <w:t xml:space="preserve"> - массы аскорбиновой кислоты (</w:t>
      </w:r>
      <w:r w:rsidRPr="006801DE">
        <w:rPr>
          <w:rFonts w:ascii="Times New Roman" w:hAnsi="Times New Roman" w:cs="Times New Roman"/>
          <w:sz w:val="28"/>
          <w:szCs w:val="28"/>
        </w:rPr>
        <w:t>mc</w:t>
      </w:r>
      <w:r w:rsidRPr="006801DE">
        <w:rPr>
          <w:rFonts w:ascii="Times New Roman" w:hAnsi="Times New Roman" w:cs="Times New Roman"/>
          <w:sz w:val="28"/>
          <w:szCs w:val="28"/>
        </w:rPr>
        <w:t>) в мг на 100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 напитка; 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1DE">
        <w:rPr>
          <w:rFonts w:ascii="Times New Roman" w:hAnsi="Times New Roman" w:cs="Times New Roman"/>
          <w:sz w:val="28"/>
          <w:szCs w:val="28"/>
        </w:rPr>
        <w:t xml:space="preserve">      </w:t>
      </w:r>
      <w:r w:rsidRPr="006801DE">
        <w:rPr>
          <w:rFonts w:ascii="Times New Roman" w:hAnsi="Times New Roman" w:cs="Times New Roman"/>
          <w:sz w:val="28"/>
          <w:szCs w:val="28"/>
        </w:rPr>
        <w:t>mи</w:t>
      </w:r>
      <w:r w:rsidRPr="006801DE">
        <w:rPr>
          <w:rFonts w:ascii="Times New Roman" w:hAnsi="Times New Roman" w:cs="Times New Roman"/>
          <w:sz w:val="28"/>
          <w:szCs w:val="28"/>
        </w:rPr>
        <w:t xml:space="preserve"> - масса иван-чая, взятая для приготовления 100 см</w:t>
      </w:r>
      <w:r w:rsidRPr="006801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801DE">
        <w:rPr>
          <w:rFonts w:ascii="Times New Roman" w:hAnsi="Times New Roman" w:cs="Times New Roman"/>
          <w:sz w:val="28"/>
          <w:szCs w:val="28"/>
        </w:rPr>
        <w:t xml:space="preserve"> напитка, г.</w:t>
      </w:r>
    </w:p>
    <w:p w:rsidR="004A194B" w:rsidRPr="006801DE" w:rsidP="0068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76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2"/>
        <w:gridCol w:w="2973"/>
        <w:gridCol w:w="3831"/>
      </w:tblGrid>
      <w:tr w:rsidTr="007228BF">
        <w:tblPrEx>
          <w:tblW w:w="9776" w:type="dxa"/>
          <w:tblInd w:w="42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110"/>
        </w:trPr>
        <w:tc>
          <w:tcPr>
            <w:tcW w:w="2972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170815</wp:posOffset>
                  </wp:positionV>
                  <wp:extent cx="1892935" cy="1742440"/>
                  <wp:effectExtent l="0" t="952" r="0" b="0"/>
                  <wp:wrapThrough wrapText="bothSides">
                    <wp:wrapPolygon>
                      <wp:start x="-11" y="21588"/>
                      <wp:lineTo x="21292" y="21588"/>
                      <wp:lineTo x="21292" y="335"/>
                      <wp:lineTo x="-11" y="335"/>
                      <wp:lineTo x="-11" y="21588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0875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/>
                          <a:srcRect l="22786" t="8549" r="7539" b="1934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2935" cy="174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3" w:type="dxa"/>
          </w:tcPr>
          <w:p w:rsidR="004A194B" w:rsidRPr="006801DE" w:rsidP="00680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123825</wp:posOffset>
                  </wp:positionV>
                  <wp:extent cx="1816735" cy="1847215"/>
                  <wp:effectExtent l="0" t="0" r="0" b="635"/>
                  <wp:wrapThrough wrapText="bothSides">
                    <wp:wrapPolygon>
                      <wp:start x="0" y="0"/>
                      <wp:lineTo x="0" y="21385"/>
                      <wp:lineTo x="21290" y="21385"/>
                      <wp:lineTo x="21290" y="0"/>
                      <wp:lineTo x="0" y="0"/>
                    </wp:wrapPolygon>
                  </wp:wrapThrough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1" w:type="dxa"/>
          </w:tcPr>
          <w:p w:rsidR="004A194B" w:rsidRPr="007228BF" w:rsidP="007228BF"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101600</wp:posOffset>
                  </wp:positionV>
                  <wp:extent cx="2104390" cy="2416810"/>
                  <wp:effectExtent l="0" t="0" r="0" b="2540"/>
                  <wp:wrapThrough wrapText="bothSides">
                    <wp:wrapPolygon>
                      <wp:start x="0" y="0"/>
                      <wp:lineTo x="0" y="21452"/>
                      <wp:lineTo x="21313" y="21452"/>
                      <wp:lineTo x="21313" y="0"/>
                      <wp:lineTo x="0" y="0"/>
                    </wp:wrapPolygon>
                  </wp:wrapThrough>
                  <wp:docPr id="1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rcRect t="17106" r="20129" b="14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390" cy="241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7228BF">
        <w:tblPrEx>
          <w:tblW w:w="9776" w:type="dxa"/>
          <w:tblInd w:w="425" w:type="dxa"/>
          <w:tblLayout w:type="fixed"/>
          <w:tblLook w:val="04A0"/>
        </w:tblPrEx>
        <w:tc>
          <w:tcPr>
            <w:tcW w:w="9776" w:type="dxa"/>
            <w:gridSpan w:val="3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Рисунок 6. Процесс титрования пробы чая раствором йода в присутствии крахмала, демонстрация перехода окраски в точке эквивалентности</w:t>
            </w:r>
          </w:p>
        </w:tc>
      </w:tr>
    </w:tbl>
    <w:p w:rsidR="004A194B" w:rsidRPr="006801DE" w:rsidP="006801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4"/>
        <w:gridCol w:w="3705"/>
        <w:gridCol w:w="3516"/>
      </w:tblGrid>
      <w:tr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984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2134771"/>
                  <wp:effectExtent l="0" t="0" r="0" b="0"/>
                  <wp:docPr id="1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867" cy="2166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5810" cy="2162175"/>
                  <wp:effectExtent l="0" t="0" r="0" b="0"/>
                  <wp:docPr id="1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/>
                          <a:srcRect t="8845" b="180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70" cy="2172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01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4072" cy="2105025"/>
                  <wp:effectExtent l="0" t="0" r="1905" b="0"/>
                  <wp:docPr id="1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"/>
                          <a:srcRect t="24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04" cy="212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205" w:type="dxa"/>
            <w:gridSpan w:val="3"/>
          </w:tcPr>
          <w:p w:rsidR="004A194B" w:rsidRPr="006801DE" w:rsidP="00680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Рисунок 7. Измерение показателей: картинка 1 – кислотность (рН-метр</w:t>
            </w:r>
            <w:r w:rsidR="001E60A1">
              <w:rPr>
                <w:rFonts w:ascii="Times New Roman" w:hAnsi="Times New Roman" w:cs="Times New Roman"/>
                <w:sz w:val="28"/>
                <w:szCs w:val="28"/>
              </w:rPr>
              <w:t xml:space="preserve"> ИТ 1101</w:t>
            </w: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), картинки 2</w:t>
            </w:r>
            <w:r w:rsidR="00722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и 3 – общая минерализация (кондуктометр</w:t>
            </w:r>
            <w:r w:rsidR="007228BF">
              <w:rPr>
                <w:rFonts w:ascii="Times New Roman" w:hAnsi="Times New Roman" w:cs="Times New Roman"/>
                <w:sz w:val="28"/>
                <w:szCs w:val="28"/>
              </w:rPr>
              <w:t xml:space="preserve"> МАРК 603/1</w:t>
            </w:r>
            <w:r w:rsidRPr="006801D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4A194B" w:rsidRPr="006801DE" w:rsidP="006801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194B" w:rsidRPr="006801DE" w:rsidP="0068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6801DE">
      <w:footerReference w:type="default" r:id="rId30"/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7795312"/>
      <w:docPartObj>
        <w:docPartGallery w:val="Page Numbers (Bottom of Page)"/>
        <w:docPartUnique/>
      </w:docPartObj>
    </w:sdtPr>
    <w:sdtContent>
      <w:p w:rsidR="004A19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0B6">
          <w:rPr>
            <w:noProof/>
          </w:rPr>
          <w:t>6</w:t>
        </w:r>
        <w:r>
          <w:fldChar w:fldCharType="end"/>
        </w:r>
      </w:p>
    </w:sdtContent>
  </w:sdt>
  <w:p w:rsidR="004A194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336C86"/>
    <w:multiLevelType w:val="multilevel"/>
    <w:tmpl w:val="83E8D1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">
    <w:nsid w:val="0B2E1B71"/>
    <w:multiLevelType w:val="hybridMultilevel"/>
    <w:tmpl w:val="F1E0DE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7124C"/>
    <w:multiLevelType w:val="hybridMultilevel"/>
    <w:tmpl w:val="43DA5B9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459F"/>
    <w:multiLevelType w:val="hybridMultilevel"/>
    <w:tmpl w:val="7576D1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9C3"/>
    <w:multiLevelType w:val="hybridMultilevel"/>
    <w:tmpl w:val="4C9EAEA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DF5D74"/>
    <w:multiLevelType w:val="hybridMultilevel"/>
    <w:tmpl w:val="E49817B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>
    <w:nsid w:val="29316B47"/>
    <w:multiLevelType w:val="hybridMultilevel"/>
    <w:tmpl w:val="B59A576C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D136FAD"/>
    <w:multiLevelType w:val="multilevel"/>
    <w:tmpl w:val="4900E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F174CCC"/>
    <w:multiLevelType w:val="hybridMultilevel"/>
    <w:tmpl w:val="0B86740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9">
    <w:nsid w:val="31F12694"/>
    <w:multiLevelType w:val="hybridMultilevel"/>
    <w:tmpl w:val="7BFE252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F65499"/>
    <w:multiLevelType w:val="hybridMultilevel"/>
    <w:tmpl w:val="8A508BC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E72901"/>
    <w:multiLevelType w:val="hybridMultilevel"/>
    <w:tmpl w:val="9FE0E59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25C6D"/>
    <w:multiLevelType w:val="hybridMultilevel"/>
    <w:tmpl w:val="22C2C80A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B0677F"/>
    <w:multiLevelType w:val="hybridMultilevel"/>
    <w:tmpl w:val="6760619A"/>
    <w:lvl w:ilvl="0">
      <w:start w:val="5"/>
      <w:numFmt w:val="bullet"/>
      <w:lvlText w:val=""/>
      <w:lvlJc w:val="left"/>
      <w:pPr>
        <w:ind w:left="1068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5E225F1"/>
    <w:multiLevelType w:val="hybridMultilevel"/>
    <w:tmpl w:val="78ACDAB8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D036D0"/>
    <w:multiLevelType w:val="hybridMultilevel"/>
    <w:tmpl w:val="084A544C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CA27F6"/>
    <w:multiLevelType w:val="hybridMultilevel"/>
    <w:tmpl w:val="EAB85CC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B015E"/>
    <w:multiLevelType w:val="multilevel"/>
    <w:tmpl w:val="7BAE4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45D3D8A"/>
    <w:multiLevelType w:val="hybridMultilevel"/>
    <w:tmpl w:val="21948FBA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9">
    <w:nsid w:val="575E6768"/>
    <w:multiLevelType w:val="hybridMultilevel"/>
    <w:tmpl w:val="7F9E319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C5D27"/>
    <w:multiLevelType w:val="hybridMultilevel"/>
    <w:tmpl w:val="F00CA304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E261E94"/>
    <w:multiLevelType w:val="hybridMultilevel"/>
    <w:tmpl w:val="B51EBF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F0744"/>
    <w:multiLevelType w:val="hybridMultilevel"/>
    <w:tmpl w:val="E1B8079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C173A1"/>
    <w:multiLevelType w:val="hybridMultilevel"/>
    <w:tmpl w:val="7AC8E5F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881331C"/>
    <w:multiLevelType w:val="hybridMultilevel"/>
    <w:tmpl w:val="D8D4E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21C66"/>
    <w:multiLevelType w:val="hybridMultilevel"/>
    <w:tmpl w:val="4FE4358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>
    <w:nsid w:val="7E792D2E"/>
    <w:multiLevelType w:val="hybridMultilevel"/>
    <w:tmpl w:val="F72E4EAC"/>
    <w:lvl w:ilvl="0">
      <w:start w:val="1"/>
      <w:numFmt w:val="bullet"/>
      <w:lvlText w:val="•"/>
      <w:lvlJc w:val="left"/>
      <w:pPr>
        <w:ind w:left="186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>
    <w:nsid w:val="7F60549F"/>
    <w:multiLevelType w:val="hybridMultilevel"/>
    <w:tmpl w:val="25C09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6"/>
  </w:num>
  <w:num w:numId="4">
    <w:abstractNumId w:val="24"/>
  </w:num>
  <w:num w:numId="5">
    <w:abstractNumId w:val="21"/>
  </w:num>
  <w:num w:numId="6">
    <w:abstractNumId w:val="1"/>
  </w:num>
  <w:num w:numId="7">
    <w:abstractNumId w:val="13"/>
  </w:num>
  <w:num w:numId="8">
    <w:abstractNumId w:val="4"/>
  </w:num>
  <w:num w:numId="9">
    <w:abstractNumId w:val="2"/>
  </w:num>
  <w:num w:numId="10">
    <w:abstractNumId w:val="7"/>
  </w:num>
  <w:num w:numId="11">
    <w:abstractNumId w:val="18"/>
  </w:num>
  <w:num w:numId="12">
    <w:abstractNumId w:val="8"/>
  </w:num>
  <w:num w:numId="13">
    <w:abstractNumId w:val="5"/>
  </w:num>
  <w:num w:numId="14">
    <w:abstractNumId w:val="27"/>
  </w:num>
  <w:num w:numId="15">
    <w:abstractNumId w:val="22"/>
  </w:num>
  <w:num w:numId="16">
    <w:abstractNumId w:val="10"/>
  </w:num>
  <w:num w:numId="17">
    <w:abstractNumId w:val="12"/>
  </w:num>
  <w:num w:numId="18">
    <w:abstractNumId w:val="14"/>
  </w:num>
  <w:num w:numId="19">
    <w:abstractNumId w:val="23"/>
  </w:num>
  <w:num w:numId="20">
    <w:abstractNumId w:val="3"/>
  </w:num>
  <w:num w:numId="21">
    <w:abstractNumId w:val="9"/>
  </w:num>
  <w:num w:numId="22">
    <w:abstractNumId w:val="15"/>
  </w:num>
  <w:num w:numId="23">
    <w:abstractNumId w:val="19"/>
  </w:num>
  <w:num w:numId="24">
    <w:abstractNumId w:val="6"/>
  </w:num>
  <w:num w:numId="25">
    <w:abstractNumId w:val="20"/>
  </w:num>
  <w:num w:numId="26">
    <w:abstractNumId w:val="0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240" w:after="0"/>
      <w:jc w:val="center"/>
      <w:outlineLvl w:val="0"/>
    </w:pPr>
    <w:rPr>
      <w:rFonts w:ascii="Times New Roman" w:hAnsi="Times New Roman"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unhideWhenUsed/>
    <w:qFormat/>
    <w:pPr>
      <w:keepNext/>
      <w:keepLines/>
      <w:spacing w:before="40" w:after="0"/>
      <w:jc w:val="center"/>
      <w:outlineLvl w:val="1"/>
    </w:pPr>
    <w:rPr>
      <w:rFonts w:ascii="Times New Roman" w:hAnsi="Times New Roman"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">
    <w:name w:val="Заголовок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 w:after="200"/>
    </w:pPr>
    <w:rPr>
      <w:sz w:val="24"/>
      <w:szCs w:val="24"/>
    </w:rPr>
  </w:style>
  <w:style w:type="character" w:customStyle="1" w:styleId="a0">
    <w:name w:val="По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character" w:customStyle="1" w:styleId="2">
    <w:name w:val="Цитата 2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1">
    <w:name w:val="Выделенная цитата Знак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band1Vert">
      <w:tblPr/>
      <w:tcPr>
        <w:shd w:val="clear" w:color="B3D0EB" w:fill="B3D0EB" w:themeColor="accent1" w:themeTint="75" w:themeFill="accent1" w:themeFillTint="75"/>
      </w:tcPr>
    </w:tblStylePr>
    <w:tblStylePr w:type="band1Horz">
      <w:tblPr/>
      <w:tcPr>
        <w:shd w:val="clear" w:color="B3D0EB" w:fill="B3D0EB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band1Vert">
      <w:tblPr/>
      <w:tcPr>
        <w:shd w:val="clear" w:color="F6C3A0" w:fill="F6C3A0" w:themeColor="accent2" w:themeTint="75" w:themeFill="accent2" w:themeFillTint="75"/>
      </w:tcPr>
    </w:tblStylePr>
    <w:tblStylePr w:type="band1Horz">
      <w:tblPr/>
      <w:tcPr>
        <w:shd w:val="clear" w:color="F6C3A0" w:fill="F6C3A0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band1Vert">
      <w:tblPr/>
      <w:tcPr>
        <w:shd w:val="clear" w:color="D5D5D5" w:fill="D5D5D5" w:themeColor="accent3" w:themeTint="75" w:themeFill="accent3" w:themeFillTint="75"/>
      </w:tcPr>
    </w:tblStylePr>
    <w:tblStylePr w:type="band1Horz">
      <w:tblPr/>
      <w:tcPr>
        <w:shd w:val="clear" w:color="D5D5D5" w:fill="D5D5D5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band1Vert">
      <w:tblPr/>
      <w:tcPr>
        <w:shd w:val="clear" w:color="FFE28A" w:fill="FFE28A" w:themeColor="accent4" w:themeTint="75" w:themeFill="accent4" w:themeFillTint="75"/>
      </w:tcPr>
    </w:tblStylePr>
    <w:tblStylePr w:type="band1Horz">
      <w:tblPr/>
      <w:tcPr>
        <w:shd w:val="clear" w:color="FFE28A" w:fill="FFE28A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band1Vert">
      <w:tblPr/>
      <w:tcPr>
        <w:shd w:val="clear" w:color="A9BEE4" w:fill="A9BEE4" w:themeColor="accent5" w:themeTint="75" w:themeFill="accent5" w:themeFillTint="75"/>
      </w:tcPr>
    </w:tblStylePr>
    <w:tblStylePr w:type="band1Horz">
      <w:tblPr/>
      <w:tcPr>
        <w:shd w:val="clear" w:color="A9BEE4" w:fill="A9BE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band1Vert">
      <w:tblPr/>
      <w:tcPr>
        <w:shd w:val="clear" w:color="BCDBA8" w:fill="BCDBA8" w:themeColor="accent6" w:themeTint="75" w:themeFill="accent6" w:themeFillTint="75"/>
      </w:tcPr>
    </w:tblStylePr>
    <w:tblStylePr w:type="band1Horz">
      <w:tblPr/>
      <w:tcPr>
        <w:shd w:val="clear" w:color="BCDBA8" w:fill="BCDBA8" w:themeColor="accent6" w:themeTint="75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Shade="95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Shade="95" w:themeTint="80"/>
      </w:rPr>
    </w:tblStylePr>
    <w:tblStylePr w:type="firstCol">
      <w:rPr>
        <w:b/>
        <w:color w:val="ACCCEA" w:themeColor="accent1" w:themeShade="95" w:themeTint="80"/>
      </w:rPr>
    </w:tblStylePr>
    <w:tblStylePr w:type="lastCol">
      <w:rPr>
        <w:b/>
        <w:color w:val="ACCCEA" w:themeColor="accent1" w:themeShade="95" w:themeTint="80"/>
      </w:rPr>
    </w:tblStylePr>
    <w:tblStylePr w:type="band1Vert"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ACCCEA" w:themeColor="accent1" w:themeShade="95" w:themeTint="8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2Horz">
      <w:rPr>
        <w:rFonts w:ascii="Arial" w:hAnsi="Arial"/>
        <w:color w:val="ACCCEA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Shade="95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CCCEA" w:themeColor="accent1" w:themeShade="95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Shade="95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Color="accent1" w:themeTint="34" w:themeFill="accent1" w:themeFillTint="34"/>
      </w:tcPr>
    </w:tblStylePr>
    <w:tblStylePr w:type="band1Horz">
      <w:rPr>
        <w:rFonts w:ascii="Arial" w:hAnsi="Arial"/>
        <w:color w:val="ACCCEA" w:themeColor="accent1" w:themeShade="95" w:themeTint="80"/>
        <w:sz w:val="22"/>
      </w:rPr>
      <w:tblPr/>
      <w:tcPr>
        <w:shd w:val="clear" w:color="DDEAF6" w:fill="DDEAF6" w:themeColor="accent1" w:themeTint="34" w:themeFill="accent1" w:themeFillTint="34"/>
      </w:tcPr>
    </w:tblStylePr>
    <w:tblStylePr w:type="band2Horz">
      <w:rPr>
        <w:rFonts w:ascii="Arial" w:hAnsi="Arial"/>
        <w:color w:val="ACCCEA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tblPr/>
      <w:tcPr>
        <w:shd w:val="clear" w:color="DAEBCF" w:fill="DAEBCF" w:themeColor="accent6" w:themeTint="40" w:themeFill="accent6" w:themeFillTint="40"/>
      </w:tcPr>
    </w:tblStylePr>
  </w:style>
  <w:style w:type="table" w:customStyle="1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customStyle="1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Color="accent1" w:themeFill="accent1"/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Color="accent1" w:themeFill="accent1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Color="accent2" w:themeTint="97" w:themeFill="accent2" w:themeFillTint="97"/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Color="accent3" w:themeTint="98" w:themeFill="accent3" w:themeFillTint="98"/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Color="accent4" w:themeTint="9A" w:themeFill="accent4" w:themeFillTint="9A"/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Color="accent5" w:themeTint="9A" w:themeFill="accent5" w:themeFillTint="9A"/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Color="accent6" w:themeTint="98" w:themeFill="accent6" w:themeFillTint="98"/>
    </w:tblPr>
    <w:tblStylePr w:type="firstRow">
      <w:rPr>
        <w:rFonts w:ascii="Arial" w:hAnsi="Arial"/>
        <w:b/>
        <w:color w:val="000000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lastRow">
      <w:rPr>
        <w:rFonts w:ascii="Arial" w:hAnsi="Arial"/>
        <w:b/>
        <w:color w:val="000000" w:themeColor="light1"/>
        <w:sz w:val="22"/>
      </w:rPr>
    </w:tblStylePr>
    <w:tblStylePr w:type="firstCol">
      <w:rPr>
        <w:rFonts w:ascii="Arial" w:hAnsi="Arial"/>
        <w:b/>
        <w:color w:val="000000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Shade="95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Shade="95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Shade="95" w:themeTint="9A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Shade="95" w:themeTint="9A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Shade="95" w:themeTint="9A"/>
      </w:rPr>
    </w:tblStylePr>
    <w:tblStylePr w:type="lastCol">
      <w:rPr>
        <w:b/>
        <w:color w:val="8DA9DB" w:themeColor="accent5" w:themeShade="95" w:themeTint="9A"/>
      </w:r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8DA9DB" w:themeColor="accent5" w:themeShade="95" w:themeTint="9A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2Horz">
      <w:rPr>
        <w:rFonts w:ascii="Arial" w:hAnsi="Arial"/>
        <w:color w:val="8DA9DB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Shade="95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Shade="95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Color="accent1" w:themeTint="40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Color="accent1" w:themeTint="40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 w:themeColor="accent5" w:themeTint="40" w:themeFill="accent5" w:themeFillTint="40"/>
      </w:tcPr>
    </w:tblStylePr>
    <w:tblStylePr w:type="band1Horz">
      <w:rPr>
        <w:rFonts w:ascii="Arial" w:hAnsi="Arial"/>
        <w:color w:val="8DA9DB" w:themeColor="accent5" w:themeShade="95" w:themeTint="9A"/>
        <w:sz w:val="22"/>
      </w:rPr>
      <w:tblPr/>
      <w:tcPr>
        <w:shd w:val="clear" w:color="CFDBF0" w:fill="CFDBF0" w:themeColor="accent5" w:themeTint="40" w:themeFill="accent5" w:themeFillTint="40"/>
      </w:tcPr>
    </w:tblStylePr>
    <w:tblStylePr w:type="band2Horz">
      <w:rPr>
        <w:rFonts w:ascii="Arial" w:hAnsi="Arial"/>
        <w:color w:val="8DA9DB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a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2">
    <w:name w:val="Текст с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3">
    <w:name w:val="Текст концевой с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Заголовок 1 Знак"/>
    <w:basedOn w:val="DefaultParagraphFont"/>
    <w:link w:val="Heading1"/>
    <w:uiPriority w:val="9"/>
    <w:rPr>
      <w:rFonts w:ascii="Times New Roman" w:hAnsi="Times New Roman" w:eastAsiaTheme="majorEastAsia" w:cstheme="majorBidi"/>
      <w:b/>
      <w:sz w:val="32"/>
      <w:szCs w:val="32"/>
    </w:rPr>
  </w:style>
  <w:style w:type="character" w:customStyle="1" w:styleId="20">
    <w:name w:val="Заголовок 2 Знак"/>
    <w:basedOn w:val="DefaultParagraphFont"/>
    <w:link w:val="Heading2"/>
    <w:uiPriority w:val="9"/>
    <w:rPr>
      <w:rFonts w:ascii="Times New Roman" w:hAnsi="Times New Roman" w:eastAsiaTheme="majorEastAsia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</w:style>
  <w:style w:type="character" w:customStyle="1" w:styleId="10">
    <w:name w:val="Неразрешенное упоминание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image" Target="media/image6.jpeg" /><Relationship Id="rId14" Type="http://schemas.openxmlformats.org/officeDocument/2006/relationships/image" Target="media/image7.jpeg" /><Relationship Id="rId15" Type="http://schemas.openxmlformats.org/officeDocument/2006/relationships/image" Target="media/image8.jpeg" /><Relationship Id="rId16" Type="http://schemas.openxmlformats.org/officeDocument/2006/relationships/image" Target="media/image9.jpeg" /><Relationship Id="rId17" Type="http://schemas.openxmlformats.org/officeDocument/2006/relationships/image" Target="media/image10.jpeg" /><Relationship Id="rId18" Type="http://schemas.openxmlformats.org/officeDocument/2006/relationships/image" Target="media/image11.jpeg" /><Relationship Id="rId19" Type="http://schemas.openxmlformats.org/officeDocument/2006/relationships/image" Target="media/image12.jpeg" /><Relationship Id="rId2" Type="http://schemas.openxmlformats.org/officeDocument/2006/relationships/webSettings" Target="webSettings.xml" /><Relationship Id="rId20" Type="http://schemas.openxmlformats.org/officeDocument/2006/relationships/image" Target="media/image13.jpeg" /><Relationship Id="rId21" Type="http://schemas.openxmlformats.org/officeDocument/2006/relationships/image" Target="media/image14.jpeg" /><Relationship Id="rId22" Type="http://schemas.openxmlformats.org/officeDocument/2006/relationships/image" Target="media/image15.jpeg" /><Relationship Id="rId23" Type="http://schemas.openxmlformats.org/officeDocument/2006/relationships/image" Target="media/image16.jpeg" /><Relationship Id="rId24" Type="http://schemas.openxmlformats.org/officeDocument/2006/relationships/image" Target="media/image17.jpeg" /><Relationship Id="rId25" Type="http://schemas.openxmlformats.org/officeDocument/2006/relationships/image" Target="media/image18.png" /><Relationship Id="rId26" Type="http://schemas.openxmlformats.org/officeDocument/2006/relationships/image" Target="media/image19.jpeg" /><Relationship Id="rId27" Type="http://schemas.openxmlformats.org/officeDocument/2006/relationships/image" Target="media/image20.jpeg" /><Relationship Id="rId28" Type="http://schemas.openxmlformats.org/officeDocument/2006/relationships/image" Target="media/image21.jpeg" /><Relationship Id="rId29" Type="http://schemas.openxmlformats.org/officeDocument/2006/relationships/image" Target="media/image22.jpeg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hart" Target="charts/chart1.xml" /><Relationship Id="rId6" Type="http://schemas.openxmlformats.org/officeDocument/2006/relationships/chart" Target="charts/chart2.xml" /><Relationship Id="rId7" Type="http://schemas.openxmlformats.org/officeDocument/2006/relationships/chart" Target="charts/chart3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_rels/chart2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Relationship Id="rId2" Type="http://schemas.microsoft.com/office/2011/relationships/chartColorStyle" Target="chart/colors2.xml" /><Relationship Id="rId3" Type="http://schemas.microsoft.com/office/2011/relationships/chartStyle" Target="chart/style2.xml" /></Relationships>
</file>

<file path=word/charts/_rels/chart3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charts/chart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dirty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Общая минерализация, мг/дм3</a:t>
            </a:r>
            <a:r>
              <a:rPr lang="ru-RU" sz="1400" b="0" dirty="0">
                <a:solidFill>
                  <a:schemeClr val="tx1"/>
                </a:solidFill>
              </a:rPr>
              <a:t>     </a:t>
            </a:r>
          </a:p>
        </c:rich>
      </c:tx>
      <c:layout>
        <c:manualLayout>
          <c:xMode val="edge"/>
          <c:yMode val="edge"/>
          <c:x val="0.24095238095238095"/>
          <c:y val="0.026555381069515362"/>
        </c:manualLayout>
      </c:layout>
      <c:spPr>
        <a:noFill/>
        <a:ln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bar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sx="100000" sy="100000" kx="0" ky="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Лист1!$E$1:$E$7</c:f>
              <c:strCache>
                <c:ptCount val="7"/>
                <c:pt idx="0">
                  <c:v>Л 25 (ЯТ) </c:v>
                </c:pt>
                <c:pt idx="1">
                  <c:v>Г 25 (ЯТ)</c:v>
                </c:pt>
                <c:pt idx="2">
                  <c:v>Г 80 (ЯТ)</c:v>
                </c:pt>
                <c:pt idx="3">
                  <c:v>Ф 80 (ЯТ)</c:v>
                </c:pt>
                <c:pt idx="4">
                  <c:v>Г 25 (БТ)</c:v>
                </c:pt>
                <c:pt idx="5">
                  <c:v>Г 80 (БТ)</c:v>
                </c:pt>
                <c:pt idx="6">
                  <c:v>Ф 60 (ББ)</c:v>
                </c:pt>
              </c:strCache>
            </c:strRef>
          </c:cat>
          <c:val>
            <c:numRef>
              <c:f>Лист1!$F$1:$F$7</c:f>
              <c:numCache>
                <c:formatCode>General</c:formatCode>
                <c:ptCount val="7"/>
                <c:pt idx="0">
                  <c:v>618</c:v>
                </c:pt>
                <c:pt idx="1">
                  <c:v>680</c:v>
                </c:pt>
                <c:pt idx="2">
                  <c:v>474</c:v>
                </c:pt>
                <c:pt idx="3">
                  <c:v>516.5</c:v>
                </c:pt>
                <c:pt idx="4">
                  <c:v>528</c:v>
                </c:pt>
                <c:pt idx="5">
                  <c:v>464</c:v>
                </c:pt>
                <c:pt idx="6">
                  <c:v>662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7396248"/>
        <c:axId val="427389032"/>
      </c:barChart>
      <c:catAx>
        <c:axId val="427396248"/>
        <c:scaling>
          <c:orientation val="minMax"/>
        </c:scaling>
        <c:axPos val="b"/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27389032"/>
        <c:crosses val="autoZero"/>
        <c:auto val="1"/>
        <c:lblAlgn val="ctr"/>
        <c:lblOffset val="100"/>
      </c:catAx>
      <c:valAx>
        <c:axId val="427389032"/>
        <c:scaling>
          <c:orientation val="minMax"/>
        </c:scaling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27396248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0" dirty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Кислотность,</a:t>
            </a:r>
            <a:r>
              <a:rPr lang="ru-RU" sz="1600" b="0" baseline="0" dirty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ед. рН</a:t>
            </a:r>
            <a:endParaRPr lang="ru-RU" sz="1600" b="0" dirty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32100589313128314"/>
          <c:y val="0.037110827656279745"/>
        </c:manualLayout>
      </c:layout>
      <c:spPr>
        <a:noFill/>
        <a:ln>
          <a:noFill/>
        </a:ln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barChart>
        <c:barDir val="col"/>
        <c:grouping val="stack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</c:spPr>
          <c:cat>
            <c:strRef>
              <c:f>Лист1!$E$13:$E$19</c:f>
              <c:strCache>
                <c:ptCount val="7"/>
                <c:pt idx="0">
                  <c:v>Л 25 (ЯТ) </c:v>
                </c:pt>
                <c:pt idx="1">
                  <c:v>Г 25 (ЯТ)</c:v>
                </c:pt>
                <c:pt idx="2">
                  <c:v>Г 80 (ЯТ)</c:v>
                </c:pt>
                <c:pt idx="3">
                  <c:v>Ф 80 (ЯТ)</c:v>
                </c:pt>
                <c:pt idx="4">
                  <c:v>Г 25 (БТ)</c:v>
                </c:pt>
                <c:pt idx="5">
                  <c:v>Г 80 (БТ)</c:v>
                </c:pt>
                <c:pt idx="6">
                  <c:v>Ф 60 (ББ)</c:v>
                </c:pt>
              </c:strCache>
            </c:strRef>
          </c:cat>
          <c:val>
            <c:numRef>
              <c:f>Лист1!$F$13:$F$19</c:f>
              <c:numCache>
                <c:formatCode>General</c:formatCode>
                <c:ptCount val="7"/>
                <c:pt idx="0">
                  <c:v>5.5</c:v>
                </c:pt>
                <c:pt idx="1">
                  <c:v>5.3</c:v>
                </c:pt>
                <c:pt idx="2">
                  <c:v>4.7</c:v>
                </c:pt>
                <c:pt idx="3">
                  <c:v>4.9</c:v>
                </c:pt>
                <c:pt idx="4">
                  <c:v>5</c:v>
                </c:pt>
                <c:pt idx="5">
                  <c:v>4.6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5111616"/>
        <c:axId val="425108008"/>
      </c:barChart>
      <c:catAx>
        <c:axId val="425111616"/>
        <c:scaling>
          <c:orientation val="minMax"/>
        </c:scaling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25108008"/>
        <c:crosses val="autoZero"/>
        <c:auto val="1"/>
        <c:lblAlgn val="ctr"/>
        <c:lblOffset val="100"/>
      </c:catAx>
      <c:valAx>
        <c:axId val="425108008"/>
        <c:scaling>
          <c:orientation val="minMax"/>
        </c:scaling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25111616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plotArea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</c:spPr>
          <c:cat>
            <c:strRef>
              <c:f>'Лист1'!$A$12:$A$18</c:f>
              <c:strCache>
                <c:ptCount val="7"/>
                <c:pt idx="0">
                  <c:v> образец 1</c:v>
                </c:pt>
                <c:pt idx="1">
                  <c:v> образец 2</c:v>
                </c:pt>
                <c:pt idx="2">
                  <c:v> образец 3</c:v>
                </c:pt>
                <c:pt idx="3">
                  <c:v> образец 4</c:v>
                </c:pt>
                <c:pt idx="4">
                  <c:v> образец 5</c:v>
                </c:pt>
                <c:pt idx="5">
                  <c:v> образец 6</c:v>
                </c:pt>
                <c:pt idx="6">
                  <c:v> образец 7</c:v>
                </c:pt>
              </c:strCache>
            </c:strRef>
          </c:cat>
          <c:val>
            <c:numRef>
              <c:f>'Лист1'!$B$12:$B$18</c:f>
              <c:numCache>
                <c:formatCode>General</c:formatCode>
                <c:ptCount val="7"/>
                <c:pt idx="0">
                  <c:v>490.00000000000006</c:v>
                </c:pt>
                <c:pt idx="1">
                  <c:v>455</c:v>
                </c:pt>
                <c:pt idx="2">
                  <c:v>535</c:v>
                </c:pt>
                <c:pt idx="3">
                  <c:v>565</c:v>
                </c:pt>
                <c:pt idx="4">
                  <c:v>715</c:v>
                </c:pt>
                <c:pt idx="5">
                  <c:v>840</c:v>
                </c:pt>
                <c:pt idx="6">
                  <c:v>760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6"/>
        <c:axId val="1866169507"/>
        <c:axId val="1866169508"/>
      </c:barChart>
      <c:catAx>
        <c:axId val="1866169507"/>
        <c:scaling>
          <c:orientation val="minMax"/>
        </c:scaling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lstStyle/>
          <a:p>
            <a:pPr>
              <a:defRPr sz="1100">
                <a:solidFill>
                  <a:schemeClr val="tx1"/>
                </a:solidFill>
                <a:latin typeface="Liberation Sans"/>
                <a:ea typeface="Liberation Sans"/>
                <a:cs typeface="Liberation Sans"/>
              </a:defRPr>
            </a:pPr>
            <a:endParaRPr lang="ru-RU"/>
          </a:p>
        </c:txPr>
        <c:crossAx val="1866169508"/>
        <c:crosses val="autoZero"/>
        <c:auto val="1"/>
        <c:lblAlgn val="ctr"/>
        <c:lblOffset val="100"/>
        <c:tickMarkSkip val="1"/>
      </c:catAx>
      <c:valAx>
        <c:axId val="1866169508"/>
        <c:scaling>
          <c:orientation val="minMax"/>
        </c:scaling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>
                    <a:latin typeface="Liberation Sans"/>
                    <a:ea typeface="Liberation Sans"/>
                    <a:cs typeface="Liberation Sans"/>
                  </a:rPr>
                  <a:t>Содержание</a:t>
                </a:r>
                <a:r>
                  <a:rPr lang="ru-RU" sz="1200" baseline="0">
                    <a:latin typeface="Liberation Sans"/>
                    <a:ea typeface="Liberation Sans"/>
                    <a:cs typeface="Liberation Sans"/>
                  </a:rPr>
                  <a:t> витамина С</a:t>
                </a:r>
                <a:r>
                  <a:rPr lang="ru-RU" sz="1200">
                    <a:latin typeface="Liberation Sans"/>
                    <a:ea typeface="Liberation Sans"/>
                    <a:cs typeface="Liberation Sans"/>
                  </a:rPr>
                  <a:t>, мг/100г иван-чая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10292619775739045"/>
              <c:y val="0.080026338094123128"/>
            </c:manualLayout>
          </c:layout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/>
          <a:lstStyle/>
          <a:p>
            <a:pPr>
              <a:defRPr sz="1200">
                <a:solidFill>
                  <a:schemeClr val="tx1">
                    <a:lumMod val="65000"/>
                    <a:lumOff val="35000"/>
                  </a:schemeClr>
                </a:solidFill>
                <a:latin typeface="Liberation Sans"/>
                <a:ea typeface="Liberation Sans"/>
                <a:cs typeface="Liberation Sans"/>
              </a:defRPr>
            </a:pPr>
            <a:endParaRPr lang="ru-RU"/>
          </a:p>
        </c:txPr>
        <c:crossAx val="1866169507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</c:spPr>
  <c:txPr>
    <a:bodyPr/>
    <a:lstStyle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1D8F-BE76-4A9F-999E-6913D383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2025-02-21T13:31:00Z</dcterms:created>
  <dcterms:modified xsi:type="dcterms:W3CDTF">2025-12-22T08:07:00Z</dcterms:modified>
</cp:coreProperties>
</file>