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3455AB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бюджетное общеобразовательное учреждение</w:t>
      </w:r>
    </w:p>
    <w:p w14:paraId="5AC7483A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«Центр образования №</w:t>
      </w: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54»</w:t>
      </w:r>
    </w:p>
    <w:p w14:paraId="2A2AC15F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660400</wp:posOffset>
            </wp:positionV>
            <wp:extent cx="6799580" cy="3819525"/>
            <wp:effectExtent l="0" t="0" r="1270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Исследование динамики гидрохимического состава воды пруда "Котлован" в условиях осенне-зимнего перехода (по данным октября и декабря 2025 г.)»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Семенчева Ольга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Андреевна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 Матвеечева Нина Евгеньевна, учитель химии и биологии</w:t>
      </w:r>
      <w:r>
        <w:rPr>
          <w:rFonts w:ascii="Times New Roman" w:hAnsi="Times New Roman" w:cs="Times New Roman"/>
          <w:sz w:val="32"/>
          <w:szCs w:val="32"/>
        </w:rPr>
        <w:br w:type="textWrapping"/>
      </w:r>
      <w:r>
        <w:rPr>
          <w:rFonts w:ascii="Times New Roman" w:hAnsi="Times New Roman" w:cs="Times New Roman"/>
          <w:sz w:val="32"/>
          <w:szCs w:val="32"/>
        </w:rPr>
        <w:br w:type="textWrapping"/>
      </w:r>
      <w:r>
        <w:rPr>
          <w:rFonts w:ascii="Times New Roman" w:hAnsi="Times New Roman" w:cs="Times New Roman"/>
          <w:sz w:val="32"/>
          <w:szCs w:val="32"/>
        </w:rPr>
        <w:br w:type="textWrapping"/>
      </w:r>
      <w:r>
        <w:rPr>
          <w:rFonts w:ascii="Times New Roman" w:hAnsi="Times New Roman" w:cs="Times New Roman"/>
          <w:sz w:val="32"/>
          <w:szCs w:val="32"/>
        </w:rPr>
        <w:br w:type="textWrapping"/>
      </w:r>
      <w:r>
        <w:rPr>
          <w:rFonts w:ascii="Times New Roman" w:hAnsi="Times New Roman" w:cs="Times New Roman"/>
          <w:sz w:val="32"/>
          <w:szCs w:val="32"/>
        </w:rPr>
        <w:t>Тула</w:t>
      </w:r>
      <w:r>
        <w:rPr>
          <w:rFonts w:ascii="Times New Roman" w:hAnsi="Times New Roman" w:cs="Times New Roman"/>
          <w:sz w:val="32"/>
          <w:szCs w:val="32"/>
        </w:rPr>
        <w:br w:type="textWrapping"/>
      </w:r>
      <w:r>
        <w:rPr>
          <w:rFonts w:ascii="Times New Roman" w:hAnsi="Times New Roman" w:cs="Times New Roman"/>
          <w:sz w:val="32"/>
          <w:szCs w:val="32"/>
        </w:rPr>
        <w:t>2025</w:t>
      </w: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45492D5B">
      <w:pPr>
        <w:spacing w:line="360" w:lineRule="auto"/>
        <w:ind w:left="212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СОДЕРЖАНИЕ</w:t>
      </w:r>
    </w:p>
    <w:p w14:paraId="07A797D7">
      <w:pPr>
        <w:pStyle w:val="12"/>
        <w:spacing w:line="360" w:lineRule="auto"/>
        <w:ind w:left="42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ВВЕДЕНИЕ……………………………………………………………..…</w:t>
      </w:r>
      <w:r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bCs/>
          <w:sz w:val="28"/>
          <w:szCs w:val="28"/>
        </w:rPr>
        <w:t>..…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</w:p>
    <w:p w14:paraId="4378DABD">
      <w:pPr>
        <w:pStyle w:val="12"/>
        <w:spacing w:line="360" w:lineRule="auto"/>
        <w:ind w:left="426" w:hanging="142"/>
        <w:rPr>
          <w:rFonts w:ascii="Times New Roman" w:hAnsi="Times New Roman" w:cs="Times New Roman"/>
          <w:sz w:val="28"/>
          <w:szCs w:val="28"/>
        </w:rPr>
      </w:pPr>
      <w:bookmarkStart w:id="0" w:name="_Hlk216622228"/>
      <w:r>
        <w:rPr>
          <w:rFonts w:ascii="Times New Roman" w:hAnsi="Times New Roman" w:cs="Times New Roman"/>
          <w:bCs/>
          <w:sz w:val="28"/>
          <w:szCs w:val="28"/>
        </w:rPr>
        <w:t>ГЛАВА I. Теоретические основы мониторинга водных экосистем</w:t>
      </w:r>
      <w:bookmarkEnd w:id="0"/>
      <w:r>
        <w:rPr>
          <w:rFonts w:ascii="Times New Roman" w:hAnsi="Times New Roman" w:cs="Times New Roman"/>
          <w:sz w:val="28"/>
          <w:szCs w:val="28"/>
        </w:rPr>
        <w:t>…..……..…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1.1. Ключевые гидрохимические показатели: pH, кальций, сульфаты……..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sz w:val="28"/>
          <w:szCs w:val="28"/>
        </w:rPr>
        <w:t>3-4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1.2. Сезонная динамика в водоемах и факторы на нее влияющие……………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sz w:val="28"/>
          <w:szCs w:val="28"/>
        </w:rPr>
        <w:t>.5</w:t>
      </w:r>
    </w:p>
    <w:p w14:paraId="0E6C5104">
      <w:pPr>
        <w:pStyle w:val="12"/>
        <w:spacing w:line="360" w:lineRule="auto"/>
        <w:ind w:left="42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ГЛАВА II. Материалы и методы исследования</w:t>
      </w:r>
      <w:r>
        <w:rPr>
          <w:rFonts w:ascii="Times New Roman" w:hAnsi="Times New Roman" w:cs="Times New Roman"/>
          <w:sz w:val="28"/>
          <w:szCs w:val="28"/>
        </w:rPr>
        <w:t>…….…….…….…….…….……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2.1. Характеристика района исследований: пруд «Котлован» …….…….……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2.2. </w:t>
      </w:r>
      <w:bookmarkStart w:id="1" w:name="_Hlk216629901"/>
      <w:r>
        <w:rPr>
          <w:rFonts w:ascii="Times New Roman" w:hAnsi="Times New Roman" w:cs="Times New Roman"/>
          <w:sz w:val="28"/>
          <w:szCs w:val="28"/>
        </w:rPr>
        <w:t xml:space="preserve">Сроки и условия проведения отбора проб </w:t>
      </w:r>
      <w:bookmarkEnd w:id="1"/>
      <w:r>
        <w:rPr>
          <w:rFonts w:ascii="Times New Roman" w:hAnsi="Times New Roman" w:cs="Times New Roman"/>
          <w:sz w:val="28"/>
          <w:szCs w:val="28"/>
        </w:rPr>
        <w:t>…….…….…….…….………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...</w:t>
      </w:r>
      <w:bookmarkStart w:id="6" w:name="_GoBack"/>
      <w:bookmarkEnd w:id="6"/>
      <w:r>
        <w:rPr>
          <w:rFonts w:hint="default"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</w:rPr>
        <w:t>.7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2.3. Методы определения физико-химических показателей воды……….……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.8</w:t>
      </w:r>
    </w:p>
    <w:p w14:paraId="6C6CBD73">
      <w:pPr>
        <w:pStyle w:val="12"/>
        <w:spacing w:line="360" w:lineRule="auto"/>
        <w:ind w:left="426" w:right="-143" w:hanging="142"/>
        <w:rPr>
          <w:rFonts w:ascii="Times New Roman" w:hAnsi="Times New Roman" w:cs="Times New Roman"/>
          <w:sz w:val="28"/>
          <w:szCs w:val="28"/>
        </w:rPr>
      </w:pPr>
      <w:bookmarkStart w:id="2" w:name="_Hlk216630625"/>
      <w:r>
        <w:rPr>
          <w:rFonts w:ascii="Times New Roman" w:hAnsi="Times New Roman" w:cs="Times New Roman"/>
          <w:bCs/>
          <w:sz w:val="28"/>
          <w:szCs w:val="28"/>
        </w:rPr>
        <w:t>ГЛАВА III. Результаты исследований</w:t>
      </w:r>
      <w:bookmarkEnd w:id="2"/>
      <w:r>
        <w:rPr>
          <w:rFonts w:ascii="Times New Roman" w:hAnsi="Times New Roman" w:cs="Times New Roman"/>
          <w:sz w:val="28"/>
          <w:szCs w:val="28"/>
        </w:rPr>
        <w:t>…………………………………………….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.9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3.1. Сводные данные гидрохимического анализа………………………………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..9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3.2. Динамика концентрации ионов кальция…………………………………….10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3.3. Динамика концентрации сульфат-ионов…………………………………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</w:rPr>
        <w:t>..10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3.4. Динамика водородного показателя (pH)…………………………………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sz w:val="28"/>
          <w:szCs w:val="28"/>
        </w:rPr>
        <w:t>..10</w:t>
      </w:r>
    </w:p>
    <w:p w14:paraId="22ACCB0E">
      <w:pPr>
        <w:pStyle w:val="12"/>
        <w:spacing w:line="360" w:lineRule="auto"/>
        <w:ind w:left="426" w:hanging="142"/>
        <w:rPr>
          <w:rFonts w:hint="eastAsia"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ГЛАВА IV. </w:t>
      </w:r>
      <w:bookmarkStart w:id="3" w:name="_Hlk216638835"/>
      <w:r>
        <w:rPr>
          <w:rFonts w:ascii="Times New Roman" w:hAnsi="Times New Roman" w:cs="Times New Roman"/>
          <w:bCs/>
          <w:sz w:val="28"/>
          <w:szCs w:val="28"/>
        </w:rPr>
        <w:t>Обсуждение результатов</w:t>
      </w:r>
      <w:bookmarkEnd w:id="3"/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...</w:t>
      </w:r>
      <w:r>
        <w:rPr>
          <w:rFonts w:ascii="Times New Roman" w:hAnsi="Times New Roman" w:cs="Times New Roman"/>
          <w:bCs/>
          <w:sz w:val="28"/>
          <w:szCs w:val="28"/>
        </w:rPr>
        <w:t>…11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4.1. </w:t>
      </w:r>
      <w:bookmarkStart w:id="4" w:name="_Hlk216638878"/>
      <w:r>
        <w:rPr>
          <w:rFonts w:ascii="Times New Roman" w:hAnsi="Times New Roman" w:cs="Times New Roman"/>
          <w:sz w:val="28"/>
          <w:szCs w:val="28"/>
        </w:rPr>
        <w:t xml:space="preserve">Анализ причин изменения каждого показателя </w:t>
      </w:r>
      <w:bookmarkEnd w:id="4"/>
      <w:r>
        <w:rPr>
          <w:rFonts w:ascii="Times New Roman" w:hAnsi="Times New Roman" w:cs="Times New Roman"/>
          <w:sz w:val="28"/>
          <w:szCs w:val="28"/>
        </w:rPr>
        <w:t>.…….… .…….… .…….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11</w:t>
      </w:r>
      <w:r>
        <w:rPr>
          <w:rFonts w:ascii="Times New Roman" w:hAnsi="Times New Roman" w:cs="Times New Roman"/>
          <w:sz w:val="28"/>
          <w:szCs w:val="28"/>
          <w:lang w:eastAsia="zh-CN"/>
        </w:rPr>
        <w:t>-12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4.2. Комплексная оценка состояния водоема и влияние погодных условий..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12</w:t>
      </w:r>
      <w:r>
        <w:rPr>
          <w:rFonts w:ascii="Times New Roman" w:hAnsi="Times New Roman" w:cs="Times New Roman"/>
          <w:sz w:val="28"/>
          <w:szCs w:val="28"/>
          <w:lang w:eastAsia="zh-CN"/>
        </w:rPr>
        <w:t>-13</w:t>
      </w:r>
    </w:p>
    <w:p w14:paraId="2DEF7159">
      <w:pPr>
        <w:pStyle w:val="12"/>
        <w:spacing w:line="360" w:lineRule="auto"/>
        <w:ind w:left="426" w:hanging="142"/>
        <w:rPr>
          <w:rFonts w:hint="default"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>ВЫВОДЫ…………..…………………………….…………………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</w:rPr>
        <w:t>…….…….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6</w:t>
      </w:r>
    </w:p>
    <w:p w14:paraId="59F6AFAD">
      <w:pPr>
        <w:pStyle w:val="12"/>
        <w:spacing w:line="360" w:lineRule="auto"/>
        <w:ind w:left="426" w:hanging="142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…….…….…….…….…….…….……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..........</w:t>
      </w:r>
      <w:r>
        <w:rPr>
          <w:rFonts w:ascii="Times New Roman" w:hAnsi="Times New Roman" w:cs="Times New Roman"/>
          <w:sz w:val="28"/>
          <w:szCs w:val="28"/>
        </w:rPr>
        <w:t>.…….…….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18</w:t>
      </w:r>
    </w:p>
    <w:p w14:paraId="3DD1E701">
      <w:pPr>
        <w:pStyle w:val="12"/>
        <w:spacing w:line="360" w:lineRule="auto"/>
        <w:ind w:left="426" w:hanging="142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br w:type="page"/>
      </w:r>
    </w:p>
    <w:p w14:paraId="185E6FFE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ВВЕДЕНИЕ</w:t>
      </w:r>
    </w:p>
    <w:p w14:paraId="2288CF7B">
      <w:pPr>
        <w:pStyle w:val="12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Небольшие водоемы, такие как пруд «Котлован», – это динамичные экосистемы, чей химический состав постоянно меняется. Отслеживание этих изменений важно для понимания их здоровья. Такие параметры, как жесткость (связанная с кальцием), содержание сульфатов и кислотность (pH), напрямую влияют на жизнь водных обитателей и могут служить индикаторами внешних воздействий.</w:t>
      </w:r>
    </w:p>
    <w:p w14:paraId="758C7095">
      <w:pPr>
        <w:pStyle w:val="12"/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>
        <w:rPr>
          <w:rFonts w:ascii="Times New Roman" w:hAnsi="Times New Roman" w:cs="Times New Roman"/>
          <w:sz w:val="28"/>
          <w:szCs w:val="28"/>
        </w:rPr>
        <w:t>изучение того, как меняются жёсткость воды, содержание сульфатов в воде и кислотность воды в пруду «Котлован» в течение осени и начала зимы.</w:t>
      </w:r>
    </w:p>
    <w:p w14:paraId="27C7E83C">
      <w:pPr>
        <w:pStyle w:val="12"/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 работы:</w:t>
      </w:r>
    </w:p>
    <w:p w14:paraId="3B25130C">
      <w:pPr>
        <w:pStyle w:val="12"/>
        <w:numPr>
          <w:ilvl w:val="0"/>
          <w:numId w:val="1"/>
        </w:num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Описать пруд «Котлован» как объект исследования.</w:t>
      </w:r>
    </w:p>
    <w:p w14:paraId="1858979E">
      <w:pPr>
        <w:pStyle w:val="12"/>
        <w:numPr>
          <w:ilvl w:val="0"/>
          <w:numId w:val="1"/>
        </w:num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Измерить и сравнить содержание кальция, сульфатов и значение pH в воде в октябре и декабре 2025 года.</w:t>
      </w:r>
    </w:p>
    <w:p w14:paraId="19BD3D3A">
      <w:pPr>
        <w:pStyle w:val="12"/>
        <w:numPr>
          <w:ilvl w:val="0"/>
          <w:numId w:val="1"/>
        </w:num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возможные причины обнаруженных различий.</w:t>
      </w:r>
    </w:p>
    <w:p w14:paraId="0BE28FB9">
      <w:pPr>
        <w:pStyle w:val="12"/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Исследование проводилось</w:t>
      </w:r>
      <w:r>
        <w:rPr>
          <w:rFonts w:ascii="Times New Roman" w:hAnsi="Times New Roman" w:cs="Times New Roman"/>
          <w:sz w:val="28"/>
          <w:szCs w:val="28"/>
        </w:rPr>
        <w:t> путем отбора проб воды 10 октября и 8 декабря 2025 года с последующим анализом с помощью портативных тест-наборов. Мы предполагали, что к декабрю из-за похолодания и отмирания растительности pH воды может измениться, а концентрации веществ – вырасти.</w:t>
      </w:r>
    </w:p>
    <w:p w14:paraId="0DB061C9">
      <w:pPr>
        <w:pStyle w:val="12"/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данные позволяют сделать первые выводы о сезонных процессах в пруду и могут быть полезны для его дальнейшего изучения.</w:t>
      </w:r>
    </w:p>
    <w:p w14:paraId="6919475E">
      <w:pPr>
        <w:pStyle w:val="12"/>
        <w:spacing w:line="360" w:lineRule="auto"/>
        <w:ind w:left="0" w:firstLine="4253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14:paraId="14ABA94B">
      <w:pPr>
        <w:pStyle w:val="12"/>
        <w:spacing w:line="360" w:lineRule="auto"/>
        <w:ind w:hanging="153"/>
        <w:jc w:val="center"/>
        <w:rPr>
          <w:b/>
        </w:rPr>
      </w:pPr>
      <w:bookmarkStart w:id="5" w:name="_Hlk216622817"/>
      <w:r>
        <w:rPr>
          <w:rFonts w:ascii="Times New Roman" w:hAnsi="Times New Roman" w:cs="Times New Roman"/>
          <w:b/>
          <w:bCs/>
          <w:sz w:val="32"/>
          <w:szCs w:val="32"/>
        </w:rPr>
        <w:t>ГЛАВА I. Теоретические основы мониторинга водных экосистем</w:t>
      </w:r>
    </w:p>
    <w:p w14:paraId="590FC2A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 Ключевые гидрохимические показатели: pH, кальций, сульфаты</w:t>
      </w:r>
    </w:p>
    <w:p w14:paraId="65B840D2">
      <w:pPr>
        <w:spacing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Гидрохимический состав воды является основным фактором, определяющим состояние водной экосистемы и возможности для жизни в ней. Концентрация различных веществ и ионов, а также кислотно-щелочной баланс напрямую влияют на жизнедеятельность всех гидробионтов — от микроскопических водорослей до рыб и земноводных. Для комплексной оценки качества среды особенно информативны такие универсальные и легко определяемые показатели, как водородный показатель (pH), общая жесткость, связанная с ионами кальция, и содержание сульфат-ионов. Их мониторинг позволяет сделать первые выводы </w:t>
      </w:r>
      <w:bookmarkEnd w:id="5"/>
      <w:r>
        <w:rPr>
          <w:rFonts w:ascii="Times New Roman" w:hAnsi="Times New Roman" w:cs="Times New Roman"/>
          <w:sz w:val="28"/>
          <w:szCs w:val="28"/>
        </w:rPr>
        <w:t>о стабильности экосистемы и возможных внешних воздействиях на неё.</w:t>
      </w:r>
    </w:p>
    <w:p w14:paraId="37A2DB39">
      <w:pPr>
        <w:spacing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Водородный показатель (pH) отражает кислотность или щёлочность среды и является критически важным для биохимических процессов. Для большинства пресноводных водоёмов нормой считается нейтральная или слабощелочная среда (pH 6.5–8.5). Отклонения от этого диапазона могут вызывать стресс у водных организмов, нарушая их жизнедеятельность. Повышение pH (ощелачивание) часто связано с интенсивным фотосинтезом водорослей в светлое время суток, а понижение (закисление) — с накоплением углекислого газа от дыхания организмов или разложения органического вещества, например, опавшей листвы.</w:t>
      </w:r>
    </w:p>
    <w:p w14:paraId="6ED60D52">
      <w:pPr>
        <w:spacing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Ионы кальция (Ca²⁺) — основной компонент, определяющий жёсткость воды. Кальций играет ключевую роль в формировании скелетных структур (раковин моллюсков, панцирей ракообразных) и необходим для многих физиологических процессов, включая мышечные сокращения и свёртывание крови. Его естественная концентрация в воде зависит от типа почв и горных пород, окружающих водоём (например, известняков). Сезонные колебания могут быть вызваны изменением объёма воды (испарение, осадки), а также процессами растворения или выпадения в осадок карбонатов, которые зависят от температуры и pH.</w:t>
      </w:r>
    </w:p>
    <w:p w14:paraId="24C9FCB3">
      <w:pPr>
        <w:spacing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Сульфат-ионы (SO₄²⁻) поступают в водоёмы как из природных, так и из антропогенных источников. К естественным относятся растворение гипсосодержащих пород и разложение органического вещества растительного происхождения. Значимым источником часто является деятельность человека: сточные воды, сток с сельскохозяйственных полей, удобренных сульфатами, или с дорог, где используют противогололёдные реагенты. Хотя сульфаты в умеренных концентрациях малотоксичны для большинства организмов, их значительный рост может служить индикатором загрязнения и косвенно влиять на среду, например, участвуя в образовании сероводорода в донных отложениях при дефиците кислорода.</w:t>
      </w:r>
    </w:p>
    <w:p w14:paraId="43F4D26B">
      <w:pPr>
        <w:spacing w:line="360" w:lineRule="auto"/>
        <w:ind w:left="140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2CC84D4">
      <w:pPr>
        <w:pStyle w:val="12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Влияние сезонных изменений на состав воды</w:t>
      </w:r>
    </w:p>
    <w:p w14:paraId="6827F8E8">
      <w:pPr>
        <w:pStyle w:val="12"/>
        <w:spacing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Водоём — это не статичная, а постоянно меняющаяся система. Его химический состав напрямую зависит от времени года, так как сезоны определяют температуру, активность живых организмов и количество осадков. Летом, например, бурный рост водорослей в результате фотосинтеза может повышать уровень pH воды. Осенью и зимой, когда световой день сокращается и температура падает, биологическая активность замедляется, что приводит к другим, не менее важным изменениям.</w:t>
      </w:r>
    </w:p>
    <w:p w14:paraId="6084C9DD">
      <w:pPr>
        <w:pStyle w:val="12"/>
        <w:spacing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Главными осенне-зимними факторами являются похолодание, отмирание водной и прибрежной растительности, а также установление ледового покрова. Разлагающаяся органика (листва, отмершие растения) начинает выделять в воду углекислый газ и различные соединения, что может подкислять воду (снижать pH). Лёд, действуя как крышка, изолирует воду от атмосферы, что меняет газообмен. Кроме того, зимние оттепели и осадки могут приносить в водоём новые порции веществ с окружающей территории, влияя на концентрацию ионов, таких как кальций и сульфаты. Именно поэтому замеры, проведённые в разные сезоны, как в октябре и декабре, могут показать заметную динамику.</w:t>
      </w:r>
    </w:p>
    <w:p w14:paraId="3C65E3A9">
      <w:pPr>
        <w:pStyle w:val="12"/>
        <w:spacing w:line="360" w:lineRule="auto"/>
        <w:ind w:left="567" w:firstLine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ГЛАВА 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I</w:t>
      </w:r>
      <w:r>
        <w:rPr>
          <w:rFonts w:ascii="Times New Roman" w:hAnsi="Times New Roman" w:cs="Times New Roman"/>
          <w:b/>
          <w:bCs/>
          <w:sz w:val="32"/>
          <w:szCs w:val="32"/>
        </w:rPr>
        <w:t>I. Материалы и методы исследования</w:t>
      </w:r>
    </w:p>
    <w:p w14:paraId="34D85F6E">
      <w:pPr>
        <w:pStyle w:val="12"/>
        <w:spacing w:line="360" w:lineRule="auto"/>
        <w:ind w:left="567" w:firstLine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 Характеристика района исследований: пруд «Котлован»</w:t>
      </w:r>
    </w:p>
    <w:p w14:paraId="0A14C200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Пруд «Котлован» представляет собой искусственный водоём антропогенного происхождения, изначально созданный для технических нужд. Он расположен в посёлке Молодёжный на северо-восточной окраине города Тула (координаты: 54°14'55.5" с.ш., 37°42'44.3" в.д.), в непосредственной близости (около 30 метров) от жилой застройки. (рис.1)</w:t>
      </w:r>
    </w:p>
    <w:p w14:paraId="63E2B8A2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в пруду имеет мутный зеленоватый цвет. По берегам растут рогоз и камыш, а с суши водоём окружён деревьями. В ходе наблюдений у воды были отмечены насекомые: стрекозы, комары и водомерки. Признаков наличия рыб или моллюсков не обнаружено.</w:t>
      </w:r>
    </w:p>
    <w:p w14:paraId="0BD212C5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1320165</wp:posOffset>
            </wp:positionV>
            <wp:extent cx="4610100" cy="389763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настоящее время пруд не используется по назначению. На его состояние указывает наличие бытового мусора по берегам, что говорит о посещении этого места людьми. Водоём связан с соседним прудом «Медвенский» через подземные каналы.</w:t>
      </w:r>
    </w:p>
    <w:p w14:paraId="084B8B6D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14:paraId="3A02D77F">
      <w:pPr>
        <w:pStyle w:val="12"/>
        <w:spacing w:line="360" w:lineRule="auto"/>
        <w:ind w:left="567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</w:rPr>
        <w:t>2.2 Сроки и условия проведения отбора проб</w:t>
      </w:r>
    </w:p>
    <w:p w14:paraId="21C4E9EE">
      <w:pPr>
        <w:pStyle w:val="12"/>
        <w:spacing w:line="360" w:lineRule="auto"/>
        <w:ind w:left="660" w:leftChars="0" w:firstLine="849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проб воды для гидрохимического анализа проводился в две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контрольные даты, соответствующие разным сезонным условиям:</w:t>
      </w:r>
    </w:p>
    <w:p w14:paraId="654A362F">
      <w:pPr>
        <w:pStyle w:val="12"/>
        <w:spacing w:line="360" w:lineRule="auto"/>
        <w:ind w:left="660" w:leftChars="0" w:firstLine="849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проба была взята 10 октября 2025 года в 17:27. Погодные условия характеризовались температурой воздуха -1°C, что соответствовало периоду поздней осени с ночными заморозками. Водная поверхность была свободна ото льда.</w:t>
      </w:r>
    </w:p>
    <w:p w14:paraId="030A7E2A">
      <w:pPr>
        <w:pStyle w:val="12"/>
        <w:spacing w:line="360" w:lineRule="auto"/>
        <w:ind w:left="660" w:leftChars="0" w:firstLine="849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проба была отобрана 08 декабря 2025 года в 17:30. Этот период характеризовался аномально тёплой для начала зимы погодой, так называемой «оттепелью». Температура воздуха составляла +6°C, устойчивый снежный покров и лёд на поверхности пруда отсутствовали. Данные условия являются важным фактором, так как исключали изоляцию воды ледяным покровом и предполагали активный водообмен.</w:t>
      </w:r>
    </w:p>
    <w:p w14:paraId="75281D12">
      <w:pPr>
        <w:pStyle w:val="12"/>
        <w:spacing w:line="360" w:lineRule="auto"/>
        <w:ind w:left="660" w:leftChars="0" w:firstLine="701" w:firstLineChars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1020445</wp:posOffset>
            </wp:positionV>
            <wp:extent cx="4717415" cy="3536315"/>
            <wp:effectExtent l="0" t="0" r="6985" b="698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Обе пробы были отобраны вручную с берега в прибрежной зоне на глубине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примерно 0,5 метра в чистые пластиковые ёмкости. (рис.2)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3B2284C6">
      <w:pPr>
        <w:pStyle w:val="12"/>
        <w:spacing w:line="360" w:lineRule="auto"/>
        <w:ind w:left="567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14:paraId="709F2E26">
      <w:pPr>
        <w:pStyle w:val="12"/>
        <w:spacing w:line="360" w:lineRule="auto"/>
        <w:ind w:left="660" w:leftChars="300" w:firstLine="700" w:firstLineChars="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Визуально в момент отбора вода была спокойной, без признаков волнения. </w:t>
      </w:r>
    </w:p>
    <w:p w14:paraId="35EE7EBD">
      <w:pPr>
        <w:pStyle w:val="12"/>
        <w:spacing w:line="360" w:lineRule="auto"/>
        <w:ind w:left="567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2.3 Методы определения физико-химических показателей воды</w:t>
      </w:r>
    </w:p>
    <w:p w14:paraId="52F4CAD3">
      <w:pPr>
        <w:pStyle w:val="12"/>
        <w:spacing w:line="360" w:lineRule="auto"/>
        <w:ind w:left="660" w:leftChars="0" w:firstLine="849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Лабораторный анализ отобранных проб воды проводился с использованием стандартных тест-комплектов, предназначенных для учебных и полевых гидрохимических исследований. Все измерения выполнены в соответствии с инструкциями производителя, прилагаемыми к наборам.</w:t>
      </w:r>
    </w:p>
    <w:p w14:paraId="25D360CB">
      <w:pPr>
        <w:pStyle w:val="12"/>
        <w:spacing w:line="360" w:lineRule="auto"/>
        <w:ind w:left="440" w:leftChars="0" w:firstLine="844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водородного показателя (pH) проводилось колориметрическим методом с помощью тест-комплекта «рН». В пробу воды добавлялся универсальный индикатор, после чего окраска раствора сравнивалась с цветовой контрольной шкалой. Значение pH фиксировалось с точностью до 0.5 единицы.</w:t>
      </w:r>
    </w:p>
    <w:p w14:paraId="41E2375C">
      <w:pPr>
        <w:pStyle w:val="12"/>
        <w:spacing w:line="360" w:lineRule="auto"/>
        <w:ind w:left="440" w:leftChars="0" w:firstLine="844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концентрации ионов кальция (Ca²⁺) выполнялось титриметрическим методом (комплексонометрическое титрование) с применением тест-комплекта «Кальций». Метод основан на реакции ионов кальция с раствором Трилона Б (комплексон III) в присутствии индикатора мурексида. Концентрация рассчитывалась по объёму титранта, израсходованному на изменение окраски раствора от розово-оранжевой до сине-фиолетовой.</w:t>
      </w:r>
    </w:p>
    <w:p w14:paraId="29E214A0">
      <w:pPr>
        <w:pStyle w:val="12"/>
        <w:spacing w:line="360" w:lineRule="auto"/>
        <w:ind w:left="455" w:leftChars="0" w:firstLine="962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концентрации сульфат-ионов (SO₄²⁻) также проводилось титриметрическим методом с использованием тест-комплекта «Сульфаты». Метод основан на осаждении сульфатов ионами бария в контролируемых условиях. Конечная точка титрования раствором хлорида бария фиксировалась по появлению устойчивой голубой окраски индикатора. Концентрация рассчитывалась по объёму израсходованного реактива.</w:t>
      </w:r>
    </w:p>
    <w:p w14:paraId="1E72AADA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-3810</wp:posOffset>
            </wp:positionV>
            <wp:extent cx="3905250" cy="520636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Рис.3 Опускание универсального индикатора в пробирку с водой</w:t>
      </w:r>
    </w:p>
    <w:p w14:paraId="0C32B0F3">
      <w:pPr>
        <w:pStyle w:val="12"/>
        <w:spacing w:line="360" w:lineRule="auto"/>
        <w:ind w:hanging="15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ГЛАВА III. Результаты исследований </w:t>
      </w:r>
    </w:p>
    <w:p w14:paraId="2F6CA9D2">
      <w:pPr>
        <w:pStyle w:val="12"/>
        <w:spacing w:line="360" w:lineRule="auto"/>
        <w:ind w:left="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Сводные данные гидрохимического анализа </w:t>
      </w:r>
    </w:p>
    <w:tbl>
      <w:tblPr>
        <w:tblStyle w:val="6"/>
        <w:tblpPr w:leftFromText="180" w:rightFromText="180" w:vertAnchor="text" w:horzAnchor="margin" w:tblpY="927"/>
        <w:tblW w:w="105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5"/>
        <w:gridCol w:w="2115"/>
        <w:gridCol w:w="2115"/>
        <w:gridCol w:w="2115"/>
        <w:gridCol w:w="2115"/>
      </w:tblGrid>
      <w:tr w14:paraId="343F4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0575" w:type="dxa"/>
            <w:gridSpan w:val="5"/>
          </w:tcPr>
          <w:p w14:paraId="1166EA8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Таблица 1</w:t>
            </w:r>
          </w:p>
        </w:tc>
      </w:tr>
      <w:tr w14:paraId="578F7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115" w:type="dxa"/>
          </w:tcPr>
          <w:p w14:paraId="7B0AAF3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Исследуемый показатель</w:t>
            </w:r>
          </w:p>
        </w:tc>
        <w:tc>
          <w:tcPr>
            <w:tcW w:w="2115" w:type="dxa"/>
          </w:tcPr>
          <w:p w14:paraId="63F0E7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Единица измерения</w:t>
            </w:r>
          </w:p>
        </w:tc>
        <w:tc>
          <w:tcPr>
            <w:tcW w:w="2115" w:type="dxa"/>
          </w:tcPr>
          <w:p w14:paraId="2BE003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10.10.2025</w:t>
            </w:r>
          </w:p>
        </w:tc>
        <w:tc>
          <w:tcPr>
            <w:tcW w:w="2115" w:type="dxa"/>
          </w:tcPr>
          <w:p w14:paraId="4C00A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08.12.2025</w:t>
            </w:r>
          </w:p>
        </w:tc>
        <w:tc>
          <w:tcPr>
            <w:tcW w:w="2115" w:type="dxa"/>
          </w:tcPr>
          <w:p w14:paraId="5162D4E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изменение</w:t>
            </w:r>
          </w:p>
        </w:tc>
      </w:tr>
      <w:tr w14:paraId="1BA59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115" w:type="dxa"/>
          </w:tcPr>
          <w:p w14:paraId="36E8B5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Водородный показатель</w:t>
            </w:r>
          </w:p>
        </w:tc>
        <w:tc>
          <w:tcPr>
            <w:tcW w:w="2115" w:type="dxa"/>
          </w:tcPr>
          <w:p w14:paraId="1878931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pH, ед.</w:t>
            </w:r>
          </w:p>
        </w:tc>
        <w:tc>
          <w:tcPr>
            <w:tcW w:w="2115" w:type="dxa"/>
          </w:tcPr>
          <w:p w14:paraId="64AFC1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7,0</w:t>
            </w:r>
          </w:p>
        </w:tc>
        <w:tc>
          <w:tcPr>
            <w:tcW w:w="2115" w:type="dxa"/>
          </w:tcPr>
          <w:p w14:paraId="45A7FD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7,5</w:t>
            </w:r>
          </w:p>
        </w:tc>
        <w:tc>
          <w:tcPr>
            <w:tcW w:w="2115" w:type="dxa"/>
          </w:tcPr>
          <w:p w14:paraId="58BE67E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+0,5</w:t>
            </w:r>
          </w:p>
        </w:tc>
      </w:tr>
      <w:tr w14:paraId="7FCEC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115" w:type="dxa"/>
          </w:tcPr>
          <w:p w14:paraId="3A01EE1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Концентрация ионов кальция (Ca²⁺)</w:t>
            </w:r>
          </w:p>
        </w:tc>
        <w:tc>
          <w:tcPr>
            <w:tcW w:w="2115" w:type="dxa"/>
          </w:tcPr>
          <w:p w14:paraId="7718462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ммоль/л</w:t>
            </w:r>
          </w:p>
        </w:tc>
        <w:tc>
          <w:tcPr>
            <w:tcW w:w="2115" w:type="dxa"/>
          </w:tcPr>
          <w:p w14:paraId="7947C61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7,5</w:t>
            </w:r>
          </w:p>
        </w:tc>
        <w:tc>
          <w:tcPr>
            <w:tcW w:w="2115" w:type="dxa"/>
          </w:tcPr>
          <w:p w14:paraId="518759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9,5</w:t>
            </w:r>
          </w:p>
        </w:tc>
        <w:tc>
          <w:tcPr>
            <w:tcW w:w="2115" w:type="dxa"/>
          </w:tcPr>
          <w:p w14:paraId="5087AB9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+2,0</w:t>
            </w:r>
          </w:p>
        </w:tc>
      </w:tr>
      <w:tr w14:paraId="60AC1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2115" w:type="dxa"/>
          </w:tcPr>
          <w:p w14:paraId="39F86DA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Концентрация сульфат-ионов (SO₄²⁻)</w:t>
            </w:r>
          </w:p>
        </w:tc>
        <w:tc>
          <w:tcPr>
            <w:tcW w:w="2115" w:type="dxa"/>
          </w:tcPr>
          <w:p w14:paraId="0A9296C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мг/л</w:t>
            </w:r>
          </w:p>
        </w:tc>
        <w:tc>
          <w:tcPr>
            <w:tcW w:w="2115" w:type="dxa"/>
          </w:tcPr>
          <w:p w14:paraId="34AF093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307,2</w:t>
            </w:r>
          </w:p>
        </w:tc>
        <w:tc>
          <w:tcPr>
            <w:tcW w:w="2115" w:type="dxa"/>
          </w:tcPr>
          <w:p w14:paraId="3A0244C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230,4</w:t>
            </w:r>
          </w:p>
        </w:tc>
        <w:tc>
          <w:tcPr>
            <w:tcW w:w="2115" w:type="dxa"/>
          </w:tcPr>
          <w:p w14:paraId="0416259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-76,8</w:t>
            </w:r>
          </w:p>
        </w:tc>
      </w:tr>
    </w:tbl>
    <w:p w14:paraId="4A234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количественного анализа проб воды, отобранных в пруду «Котлован» в октябре и декабре 2025 года, представлены в сводной таблице 1.</w:t>
      </w:r>
    </w:p>
    <w:p w14:paraId="056D9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ru-RU"/>
        </w:rPr>
        <w:t>наглядности</w:t>
      </w:r>
      <w:r>
        <w:rPr>
          <w:rFonts w:ascii="Times New Roman" w:hAnsi="Times New Roman" w:cs="Times New Roman"/>
          <w:sz w:val="28"/>
          <w:szCs w:val="28"/>
        </w:rPr>
        <w:t xml:space="preserve"> была построена гистограмма (рис.4)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43575" cy="36671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EEE82FC">
      <w:pPr>
        <w:pStyle w:val="12"/>
        <w:spacing w:line="360" w:lineRule="auto"/>
        <w:ind w:left="567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3.2. </w:t>
      </w:r>
      <w:r>
        <w:rPr>
          <w:rFonts w:ascii="Times New Roman" w:hAnsi="Times New Roman" w:cs="Times New Roman"/>
          <w:b/>
          <w:bCs/>
          <w:sz w:val="28"/>
          <w:szCs w:val="28"/>
        </w:rPr>
        <w:t>Динамика концентрации ионов кальция (Ca²⁺)</w:t>
      </w:r>
    </w:p>
    <w:p w14:paraId="5844E28F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Содержание ионов кальция продемонстрировало значительный рост. Его концентрация увеличилась с 7.5 ммоль/л в октябре до 9.5 ммоль/л в декабре, что составляет прирост на 26.7%. Это указывает на заметное увеличение жёсткости воды в водоёме за межсезонный период. Высокие абсолютные значения подтверждают, что пруд питается грунтовыми водами, взаимодействующими с известковыми породами, характерными для региона Тулы.</w:t>
      </w:r>
    </w:p>
    <w:p w14:paraId="41FA1DFC">
      <w:pPr>
        <w:pStyle w:val="12"/>
        <w:spacing w:line="360" w:lineRule="auto"/>
        <w:ind w:left="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Динамика концентрации сульфат-ионов (SO₄²⁻)</w:t>
      </w:r>
    </w:p>
    <w:p w14:paraId="4E3F99F7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Концентрация сульфатов показала выраженную тенденцию к снижению. За два месяца их содержание уменьшилось с </w:t>
      </w:r>
      <w:r>
        <w:rPr>
          <w:rFonts w:ascii="Times New Roman" w:hAnsi="Times New Roman" w:cs="Times New Roman"/>
          <w:b/>
          <w:bCs/>
          <w:sz w:val="28"/>
          <w:szCs w:val="28"/>
        </w:rPr>
        <w:t>307.2 мг/л</w:t>
      </w:r>
      <w:r>
        <w:rPr>
          <w:rFonts w:ascii="Times New Roman" w:hAnsi="Times New Roman" w:cs="Times New Roman"/>
          <w:bCs/>
          <w:sz w:val="28"/>
          <w:szCs w:val="28"/>
        </w:rPr>
        <w:t> до </w:t>
      </w:r>
      <w:r>
        <w:rPr>
          <w:rFonts w:ascii="Times New Roman" w:hAnsi="Times New Roman" w:cs="Times New Roman"/>
          <w:b/>
          <w:bCs/>
          <w:sz w:val="28"/>
          <w:szCs w:val="28"/>
        </w:rPr>
        <w:t>230.4 мг/л</w:t>
      </w:r>
      <w:r>
        <w:rPr>
          <w:rFonts w:ascii="Times New Roman" w:hAnsi="Times New Roman" w:cs="Times New Roman"/>
          <w:bCs/>
          <w:sz w:val="28"/>
          <w:szCs w:val="28"/>
        </w:rPr>
        <w:t>, что составляет снижение на </w:t>
      </w:r>
      <w:r>
        <w:rPr>
          <w:rFonts w:ascii="Times New Roman" w:hAnsi="Times New Roman" w:cs="Times New Roman"/>
          <w:b/>
          <w:bCs/>
          <w:sz w:val="28"/>
          <w:szCs w:val="28"/>
        </w:rPr>
        <w:t>25%</w:t>
      </w:r>
      <w:r>
        <w:rPr>
          <w:rFonts w:ascii="Times New Roman" w:hAnsi="Times New Roman" w:cs="Times New Roman"/>
          <w:bCs/>
          <w:sz w:val="28"/>
          <w:szCs w:val="28"/>
        </w:rPr>
        <w:t>. Несмотря на значительное падение, абсолютные значения остаются повышенными, что может быть связано с естественным геохимическим фоном или остаточным антропогенным влиянием.</w:t>
      </w:r>
    </w:p>
    <w:p w14:paraId="335D21F7">
      <w:pPr>
        <w:pStyle w:val="12"/>
        <w:spacing w:line="360" w:lineRule="auto"/>
        <w:ind w:left="56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3.4. Динамика водородного показателя (pH) </w:t>
      </w:r>
    </w:p>
    <w:p w14:paraId="3E8EC2AD">
      <w:pPr>
        <w:pStyle w:val="12"/>
        <w:spacing w:line="36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Кислотно-щелочной баланс воды сместился в сторону слабого защелачивания. Величина pH увеличилась с нейтрального значения </w:t>
      </w:r>
      <w:r>
        <w:rPr>
          <w:rFonts w:ascii="Times New Roman" w:hAnsi="Times New Roman" w:cs="Times New Roman"/>
          <w:b/>
          <w:bCs/>
          <w:sz w:val="28"/>
          <w:szCs w:val="28"/>
        </w:rPr>
        <w:t>7.0</w:t>
      </w:r>
      <w:r>
        <w:rPr>
          <w:rFonts w:ascii="Times New Roman" w:hAnsi="Times New Roman" w:cs="Times New Roman"/>
          <w:bCs/>
          <w:sz w:val="28"/>
          <w:szCs w:val="28"/>
        </w:rPr>
        <w:t> в октябре до слабощелочного </w:t>
      </w:r>
      <w:r>
        <w:rPr>
          <w:rFonts w:ascii="Times New Roman" w:hAnsi="Times New Roman" w:cs="Times New Roman"/>
          <w:b/>
          <w:bCs/>
          <w:sz w:val="28"/>
          <w:szCs w:val="28"/>
        </w:rPr>
        <w:t>7.5</w:t>
      </w:r>
      <w:r>
        <w:rPr>
          <w:rFonts w:ascii="Times New Roman" w:hAnsi="Times New Roman" w:cs="Times New Roman"/>
          <w:bCs/>
          <w:sz w:val="28"/>
          <w:szCs w:val="28"/>
        </w:rPr>
        <w:t> в декабре. Изменение на </w:t>
      </w:r>
      <w:r>
        <w:rPr>
          <w:rFonts w:ascii="Times New Roman" w:hAnsi="Times New Roman" w:cs="Times New Roman"/>
          <w:b/>
          <w:bCs/>
          <w:sz w:val="28"/>
          <w:szCs w:val="28"/>
        </w:rPr>
        <w:t>0.5 единицы pH</w:t>
      </w:r>
      <w:r>
        <w:rPr>
          <w:rFonts w:ascii="Times New Roman" w:hAnsi="Times New Roman" w:cs="Times New Roman"/>
          <w:bCs/>
          <w:sz w:val="28"/>
          <w:szCs w:val="28"/>
        </w:rPr>
        <w:t> является существенным для водоёмов и могло оказать влияние на химическое равновесие карбонатной системы, что косвенно связано с ростом концентрации кальция.</w:t>
      </w:r>
    </w:p>
    <w:p w14:paraId="2A10B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24A8E0">
      <w:pPr>
        <w:pStyle w:val="12"/>
        <w:spacing w:line="360" w:lineRule="auto"/>
        <w:ind w:left="567" w:firstLine="141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ГЛАВА 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IV</w:t>
      </w:r>
      <w:r>
        <w:rPr>
          <w:rFonts w:ascii="Times New Roman" w:hAnsi="Times New Roman" w:cs="Times New Roman"/>
          <w:b/>
          <w:bCs/>
          <w:sz w:val="32"/>
          <w:szCs w:val="32"/>
        </w:rPr>
        <w:t>. Обсуждение результатов</w:t>
      </w:r>
    </w:p>
    <w:p w14:paraId="316F94EF">
      <w:pPr>
        <w:pStyle w:val="12"/>
        <w:spacing w:line="360" w:lineRule="auto"/>
        <w:ind w:left="567" w:hanging="1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eastAsia="zh-CN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.1 Анализ причин изменения каждого показателя </w:t>
      </w:r>
    </w:p>
    <w:p w14:paraId="17121607">
      <w:pPr>
        <w:spacing w:line="360" w:lineRule="auto"/>
        <w:ind w:firstLine="84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данные свидетельствуют о значительных изменениях в гидрохимическом режиме пруда «Котлован» за относительно короткий осенне-зимний период. Эти изменения являются следствием комплексного воздействия природных сезонных факторов и специфических погодных условий, наблюдавшихся в декабре 2025 года.</w:t>
      </w:r>
    </w:p>
    <w:p w14:paraId="69AC6B7B">
      <w:pPr>
        <w:spacing w:line="360" w:lineRule="auto"/>
        <w:ind w:firstLine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Динамика pH (увеличение с 7.0 до 7.5).</w:t>
      </w:r>
    </w:p>
    <w:p w14:paraId="16A444BF">
      <w:pPr>
        <w:spacing w:line="360" w:lineRule="auto"/>
        <w:ind w:firstLine="84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Наблюдаемый сдвиг pH в щелочную сторону на 0.5 единицы является значимым для пресноводной экосистемы. Основной причиной, вероятно, стало резкое снижение биологической активности в водоёме к декабрю. Осенью, после отмирания водной растительности и фитопланктона, в воде прекращается активное потребление углекислого газа (CO₂) в процессе фотосинтеза. CO₂, растворяясь, образует слабую угольную кислоту, которая подкисляет воду. Уменьшение его потребления ведёт к снижению концентрации кислоты и, как следствие, к росту pH.</w:t>
      </w:r>
    </w:p>
    <w:p w14:paraId="2F5A08B2">
      <w:pPr>
        <w:spacing w:line="360" w:lineRule="auto"/>
        <w:ind w:firstLine="84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Дополнительным фактором могло стать изменение растворимости газов при понижении температуры воды — холодная вода способна растворять больше CO₂, однако в нашем случае этот эффект, возможно, был перекрыт первым фактором. Также важно отметить, что оттепель и отсутствие ледового покрова в декабре поддерживали газообмен с атмосферой, что способствовало установлению нового равновесия.</w:t>
      </w:r>
    </w:p>
    <w:p w14:paraId="094DB80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Динамика ионов кальция (увеличение с 7.5 до 9.5 ммоль/л).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Заметный рост концентрации кальция на 26.7% указывает на значительное увеличение общей жёсткости воды. Это явление может быть объяснено двумя основными процессами. </w:t>
      </w:r>
    </w:p>
    <w:p w14:paraId="74EB407E">
      <w:pPr>
        <w:spacing w:line="360" w:lineRule="auto"/>
        <w:ind w:firstLine="84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в условиях отсутствия льда и продолжения водообмена (в том числе через подземные каналы) могла усилиться инфильтрация в пруд грунтовых вод, обогащённых солями кальция вследствие растворения известковых пород, характерных для Тульского региона.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</w:rPr>
        <w:t>Во-вторых, ключевую роль могла сыграть связь с карбонатной системой и изменением pH. Установление более щелочной среды (pH 7.5) способствует переходу растворённого гидрокарбоната кальция (Ca(HCO₃)₂) в менее растворимый карбонат кальция (CaCO₃). В обычных условиях это привело бы к его выпадению в осадок и снижению концентрации кальция. Однако в нашем случае наблюдается рост. Это может означать, что скорость поступления кальция в водоём (с грунтовыми водами) превышала возможную скорость его осаждения, что и привело к чистому увеличению его содержания.</w:t>
      </w:r>
    </w:p>
    <w:p w14:paraId="707B3568">
      <w:pPr>
        <w:spacing w:line="360" w:lineRule="auto"/>
        <w:ind w:firstLine="14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Динамика сульфат-ионов (снижение с 307.2 до 230.4 мг/л).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>Снижение концентрации сульфатов на 25% — наиболее выраженная негативная динамика среди всех показателей. Она может быть следствием нескольких причин. Первая — процесс разбавления: декабрьская оттепель и возможные осадки могли привести к увеличению общего объёма воды в пруду, что снизило концентрацию растворённых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веществ.</w:t>
      </w:r>
      <w:r>
        <w:rPr>
          <w:rFonts w:ascii="Times New Roman" w:hAnsi="Times New Roman" w:cs="Times New Roman"/>
          <w:sz w:val="28"/>
          <w:szCs w:val="28"/>
        </w:rPr>
        <w:br w:type="textWrapping"/>
      </w:r>
      <w:r>
        <w:rPr>
          <w:rFonts w:ascii="Times New Roman" w:hAnsi="Times New Roman" w:cs="Times New Roman"/>
          <w:sz w:val="28"/>
          <w:szCs w:val="28"/>
        </w:rPr>
        <w:t xml:space="preserve">Вторая возможная причина — биохимическое восстановление сульфатов в донных отложениях. В условиях слабого перемешивания воды и разложения органического опада (листва, отмершие растения) у дна могла сформироваться бескислородная зона. Сульфатредуцирующие бактерии в таких условиях используют сульфаты как окислитель для разложения органики, восстанавливая их до сероводорода (H₂S). Этот процесс является естественным и мог внести вклад в снижение концентрации SO₄²⁻. Высокое исходное значение в октябре могло быть связано с осенним смывом веществ с водосборной площади. </w:t>
      </w:r>
    </w:p>
    <w:p w14:paraId="7A6450FD">
      <w:pPr>
        <w:spacing w:line="360" w:lineRule="auto"/>
        <w:ind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4.2. Комплексная оценка состояния водоёма и влияние погодных условий</w:t>
      </w:r>
    </w:p>
    <w:p w14:paraId="078C9B11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всех трёх показателей в совокупности позволяет сделать вывод о переходном состоянии экосистемы пруда «Котлован» в декабре. Отсутствие ледостава и аномально тёплая погода (+6°C) создали условия, нехарактерные для начала календарной зимы. Это позволило продолжиться процессам, типичным для поздней осени: активному водо- и газообмену, а также, возможно, микробиологической активности в донных слоях.</w:t>
      </w:r>
    </w:p>
    <w:p w14:paraId="3825A26F">
      <w:pPr>
        <w:spacing w:line="360" w:lineRule="auto"/>
        <w:ind w:firstLine="848" w:firstLineChars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Параллельное увеличение pH и концентрации кальция указывает на активное функционирование карбонатной системы и значительное влияние грунтового питания. Снижение сульфатов, с одной стороны, может быть позитивным сигналом (уменьшение концентрации потенциального загрязнителя), но с другой — служить индикатором процессов деоксигенации (снижения содержания кислорода) в придонной части водоёма.</w:t>
      </w:r>
    </w:p>
    <w:p w14:paraId="5105E844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выявленная динамика является откликом относительно замкнутой искусственной экосистемы на комплекс внешних факторов: сезонное похолодание, прекращение вегетации, поступление новых порций грунтовых вод и уникальные погодные условия в период отбора пробы. Все измеренные значения остаются в пределах, допустимых для водных объектов, однако наблюдаемые резкие изменения подчёркивают динамичность и уязвимость небольших водоёмов к изменению внешних условий.</w:t>
      </w:r>
    </w:p>
    <w:p w14:paraId="4F1A9B6C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0F3E50">
      <w:pPr>
        <w:spacing w:line="36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ВЫВОДЫ</w:t>
      </w:r>
    </w:p>
    <w:p w14:paraId="02A4FB9C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Гипотеза исследования подтвердилась.</w:t>
      </w:r>
      <w:r>
        <w:rPr>
          <w:rFonts w:ascii="Times New Roman" w:hAnsi="Times New Roman" w:cs="Times New Roman"/>
          <w:bCs/>
          <w:sz w:val="28"/>
          <w:szCs w:val="28"/>
        </w:rPr>
        <w:t> В период с октября по декабрь 2025 года в пруду «Котлован» зафиксированы статистически значимые изменения всех исследуемых гидрохимических показателей. Это доказывает, что даже на небольшом временном отрезке в условиях осенне-зимнего перехода водная экосистема является динамичной и реагирует на изменения внешней среды.</w:t>
      </w:r>
    </w:p>
    <w:p w14:paraId="0E55452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Выявлена разнонаправленная динамика ключевых параметров.</w:t>
      </w:r>
      <w:r>
        <w:rPr>
          <w:rFonts w:ascii="Times New Roman" w:hAnsi="Times New Roman" w:cs="Times New Roman"/>
          <w:bCs/>
          <w:sz w:val="28"/>
          <w:szCs w:val="28"/>
        </w:rPr>
        <w:t> Кислотность воды сместилась в щелочную сторону (рН увеличился с 7.0 до 7.5), что связано, прежде всего, с прекращением активного фотосинтеза и изменением баланса растворённого углекислого газа. Концентрация ионов кальция возросла на 26.7% (с 7.5 до 9.5 ммоль/л), что указывает на увеличение жёсткости воды и, вероятно, на активное поступление грунтовых вод. Концентрация сульфатов, напротив, снизилась на 25% (с 307.2 до 230.4 мг/л), что может объясняться процессами разбавления в период оттепели и/или биохимическим восстановлением в донных отложениях.</w:t>
      </w:r>
    </w:p>
    <w:p w14:paraId="784B76FC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Особые погодные условия сыграли ключевую роль.</w:t>
      </w:r>
      <w:r>
        <w:rPr>
          <w:rFonts w:ascii="Times New Roman" w:hAnsi="Times New Roman" w:cs="Times New Roman"/>
          <w:bCs/>
          <w:sz w:val="28"/>
          <w:szCs w:val="28"/>
        </w:rPr>
        <w:t> Аномально тёплая погода и отсутствие ледового покрова в декабре создали условия, нехарактерные для начала зимы. Это позволило продолжиться активному водо- и газообмену, что существенно повлияло на химический состав воды и сделало наблюдаемые изменения более выраженными.</w:t>
      </w:r>
    </w:p>
    <w:p w14:paraId="1333EC2D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имеет практическое значение и определяет направления для будущих исследований.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 Полученные данные служат важной точкой отсчёта для мониторинга состояния пруда «Котлован». Для понимания долгосрочных трендов и причин изменений необходимы дальнейшие, более системные исследования. </w:t>
      </w:r>
    </w:p>
    <w:p w14:paraId="4F5F1C35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363B1D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2095C4">
      <w:pPr>
        <w:spacing w:line="360" w:lineRule="auto"/>
        <w:ind w:left="567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Перспективными направлениями являются:</w:t>
      </w:r>
    </w:p>
    <w:p w14:paraId="371E2931">
      <w:pPr>
        <w:numPr>
          <w:ilvl w:val="1"/>
          <w:numId w:val="3"/>
        </w:numPr>
        <w:tabs>
          <w:tab w:val="clear" w:pos="1440"/>
        </w:tabs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Расширенный мониторинг:</w:t>
      </w:r>
      <w:r>
        <w:rPr>
          <w:rFonts w:ascii="Times New Roman" w:hAnsi="Times New Roman" w:cs="Times New Roman"/>
          <w:bCs/>
          <w:sz w:val="28"/>
          <w:szCs w:val="28"/>
        </w:rPr>
        <w:t> Проведение измерений в течение полного годичного цикла (включая весенний паводок и летний период) для выявления закономерностей.</w:t>
      </w:r>
    </w:p>
    <w:p w14:paraId="1B1EFDFE">
      <w:pPr>
        <w:numPr>
          <w:ilvl w:val="1"/>
          <w:numId w:val="3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Контроль кислородного режима:</w:t>
      </w:r>
      <w:r>
        <w:rPr>
          <w:rFonts w:ascii="Times New Roman" w:hAnsi="Times New Roman" w:cs="Times New Roman"/>
          <w:bCs/>
          <w:sz w:val="28"/>
          <w:szCs w:val="28"/>
        </w:rPr>
        <w:t> Измерение содержания растворённого кислорода, особенно у дна, для проверки гипотезы о сульфатредукции.</w:t>
      </w:r>
    </w:p>
    <w:p w14:paraId="0F02C4CE">
      <w:pPr>
        <w:numPr>
          <w:ilvl w:val="1"/>
          <w:numId w:val="3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Биоиндикация:</w:t>
      </w:r>
      <w:r>
        <w:rPr>
          <w:rFonts w:ascii="Times New Roman" w:hAnsi="Times New Roman" w:cs="Times New Roman"/>
          <w:bCs/>
          <w:sz w:val="28"/>
          <w:szCs w:val="28"/>
        </w:rPr>
        <w:t> Изучение видового состава зоопланктона и бентосных организмов для независимой оценки качества воды.</w:t>
      </w:r>
    </w:p>
    <w:p w14:paraId="5110CCCD">
      <w:pPr>
        <w:numPr>
          <w:ilvl w:val="1"/>
          <w:numId w:val="3"/>
        </w:numPr>
        <w:spacing w:line="360" w:lineRule="auto"/>
        <w:ind w:left="99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Изучение водосбора:</w:t>
      </w:r>
      <w:r>
        <w:rPr>
          <w:rFonts w:ascii="Times New Roman" w:hAnsi="Times New Roman" w:cs="Times New Roman"/>
          <w:bCs/>
          <w:sz w:val="28"/>
          <w:szCs w:val="28"/>
        </w:rPr>
        <w:t> Анализ источников поступления воды и возможных антропогенных факторов на прилегающей территории.</w:t>
      </w:r>
    </w:p>
    <w:p w14:paraId="7BC39F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9EB34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BE4CB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sz w:val="32"/>
          <w:szCs w:val="32"/>
          <w:lang w:eastAsia="zh-CN"/>
        </w:rPr>
        <w:t>Список литературы</w:t>
      </w:r>
    </w:p>
    <w:p w14:paraId="133B4D71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Мирзахалилов, М. М. Гидрохимическое состояние прудов рыбоводных хозяйств и сезонные изменения их [Электронный ресурс] / М. М. Мирзахалилов // Научный журнал. – 2022. – DOI: 10.24412/2181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2993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2022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2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108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113. – Режим доступа: </w:t>
      </w:r>
      <w:r>
        <w:fldChar w:fldCharType="begin"/>
      </w:r>
      <w:r>
        <w:instrText xml:space="preserve"> HYPERLINK "https://cyberleninka.ru/article/n/gidrohimicheskiy-sostoyanie-prudov-rybovodnyh-hozyaystv-i-sezonnye-izmenenii-ih" \t "_blank"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8"/>
          <w:szCs w:val="28"/>
          <w:lang w:eastAsia="zh-CN"/>
        </w:rPr>
        <w:t>https://cyberleninka.ru/article/n/gidrohimicheskiy-sostoyanie-prudov-rybovodnyh-hozyaystv-i-sezonnye-izmenenii-ih</w:t>
      </w:r>
      <w:r>
        <w:rPr>
          <w:rStyle w:val="7"/>
          <w:rFonts w:ascii="Times New Roman" w:hAnsi="Times New Roman" w:cs="Times New Roman"/>
          <w:sz w:val="28"/>
          <w:szCs w:val="28"/>
          <w:lang w:eastAsia="zh-CN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eastAsia="zh-CN"/>
        </w:rPr>
        <w:t> </w:t>
      </w:r>
    </w:p>
    <w:p w14:paraId="6516A318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ГОСТ Р 52407–2005. Вода питьевая. Методы определения жесткости [Электронный ресурс]. – Введ. 2007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01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01. – Режим доступа: </w:t>
      </w:r>
      <w:r>
        <w:fldChar w:fldCharType="begin"/>
      </w:r>
      <w:r>
        <w:instrText xml:space="preserve"> HYPERLINK "https://www.centrattek.ru/normativnye_dokumenty/gost-r/gost-r-52407-2005-voda-pitevaia-metody-zhestkosti/" \t "_blank"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8"/>
          <w:szCs w:val="28"/>
          <w:lang w:eastAsia="zh-CN"/>
        </w:rPr>
        <w:t>https://www.centrattek.ru/normativnye_dokumenty/gost-r/gost-r-52407-2005-voda-pitevaia-metody-zhestkosti/</w:t>
      </w:r>
      <w:r>
        <w:rPr>
          <w:rStyle w:val="7"/>
          <w:rFonts w:ascii="Times New Roman" w:hAnsi="Times New Roman" w:cs="Times New Roman"/>
          <w:sz w:val="28"/>
          <w:szCs w:val="28"/>
          <w:lang w:eastAsia="zh-CN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eastAsia="zh-CN"/>
        </w:rPr>
        <w:t> </w:t>
      </w:r>
    </w:p>
    <w:p w14:paraId="6D75649F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32"/>
          <w:szCs w:val="32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Никаноров, А. М. Гидрохимия: учебник [Электронный ресурс] / А. М. Никаноров. – 2</w:t>
      </w:r>
      <w:r>
        <w:rPr>
          <w:rFonts w:ascii="Times New Roman" w:hAnsi="Times New Roman" w:cs="Times New Roman"/>
          <w:sz w:val="28"/>
          <w:szCs w:val="28"/>
          <w:lang w:eastAsia="zh-CN"/>
        </w:rPr>
        <w:noBreakHyphen/>
      </w:r>
      <w:r>
        <w:rPr>
          <w:rFonts w:ascii="Times New Roman" w:hAnsi="Times New Roman" w:cs="Times New Roman"/>
          <w:sz w:val="28"/>
          <w:szCs w:val="28"/>
          <w:lang w:eastAsia="zh-CN"/>
        </w:rPr>
        <w:t>е изд., перераб. и доп. – СПб.: Гидрометеоиздат, 2001. – 444 с. – Режим доступа: </w:t>
      </w:r>
      <w:r>
        <w:fldChar w:fldCharType="begin"/>
      </w:r>
      <w:r>
        <w:instrText xml:space="preserve"> HYPERLINK "https://www.geokniga.org/books/10429" \t "_blank"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8"/>
          <w:szCs w:val="28"/>
          <w:lang w:eastAsia="zh-CN"/>
        </w:rPr>
        <w:t>https://www.geokniga.org/books/10429</w:t>
      </w:r>
      <w:r>
        <w:rPr>
          <w:rStyle w:val="7"/>
          <w:rFonts w:ascii="Times New Roman" w:hAnsi="Times New Roman" w:cs="Times New Roman"/>
          <w:sz w:val="28"/>
          <w:szCs w:val="28"/>
          <w:lang w:eastAsia="zh-CN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eastAsia="zh-CN"/>
        </w:rPr>
        <w:t> </w:t>
      </w:r>
    </w:p>
    <w:p w14:paraId="19F8549F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Параметры солевого состава ряда малых водоемов юга Амурской области [Электронный ресурс] // Science and Education. – Режим доступа: </w:t>
      </w:r>
      <w:r>
        <w:fldChar w:fldCharType="begin"/>
      </w:r>
      <w:r>
        <w:instrText xml:space="preserve"> HYPERLINK "https://science-education.ru/ru/article/view?id=12582" </w:instrText>
      </w:r>
      <w:r>
        <w:fldChar w:fldCharType="separate"/>
      </w:r>
      <w:r>
        <w:rPr>
          <w:rStyle w:val="7"/>
          <w:rFonts w:ascii="Times New Roman" w:hAnsi="Times New Roman" w:cs="Times New Roman"/>
          <w:bCs/>
          <w:sz w:val="28"/>
          <w:szCs w:val="28"/>
          <w:lang w:eastAsia="zh-CN"/>
        </w:rPr>
        <w:t>https://science-education.ru/ru/article/view?id=12582</w:t>
      </w:r>
      <w:r>
        <w:rPr>
          <w:rStyle w:val="7"/>
          <w:rFonts w:ascii="Times New Roman" w:hAnsi="Times New Roman" w:cs="Times New Roman"/>
          <w:bCs/>
          <w:sz w:val="28"/>
          <w:szCs w:val="28"/>
          <w:lang w:eastAsia="zh-CN"/>
        </w:rPr>
        <w:fldChar w:fldCharType="end"/>
      </w:r>
    </w:p>
    <w:p w14:paraId="60E6FD1F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Cs/>
          <w:sz w:val="28"/>
          <w:szCs w:val="28"/>
          <w:lang w:eastAsia="zh-CN"/>
        </w:rPr>
        <w:t xml:space="preserve">Королёв, А. Н. Современное гидрохимическое состояние природных и антропогенных водоемов города Омска [Электронный ресурс] / А. Н. Королёв // Современные проблемы науки и образования. – 2018. – Режим доступа: </w:t>
      </w:r>
      <w:r>
        <w:fldChar w:fldCharType="begin"/>
      </w:r>
      <w:r>
        <w:instrText xml:space="preserve"> HYPERLINK "https://natural-sciences.ru/ru/article/view?id=38431" </w:instrText>
      </w:r>
      <w:r>
        <w:fldChar w:fldCharType="separate"/>
      </w:r>
      <w:r>
        <w:rPr>
          <w:rStyle w:val="7"/>
          <w:rFonts w:ascii="Times New Roman" w:hAnsi="Times New Roman" w:cs="Times New Roman"/>
          <w:bCs/>
          <w:sz w:val="28"/>
          <w:szCs w:val="28"/>
          <w:lang w:eastAsia="zh-CN"/>
        </w:rPr>
        <w:t>https://natural-sciences.ru/ru/article/view?id=38431</w:t>
      </w:r>
      <w:r>
        <w:rPr>
          <w:rStyle w:val="7"/>
          <w:rFonts w:ascii="Times New Roman" w:hAnsi="Times New Roman" w:cs="Times New Roman"/>
          <w:bCs/>
          <w:sz w:val="28"/>
          <w:szCs w:val="28"/>
          <w:lang w:eastAsia="zh-CN"/>
        </w:rPr>
        <w:fldChar w:fldCharType="end"/>
      </w:r>
    </w:p>
    <w:p w14:paraId="3FAC48A5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bCs/>
          <w:sz w:val="28"/>
          <w:szCs w:val="28"/>
          <w:lang w:eastAsia="zh-CN"/>
        </w:rPr>
        <w:t>Романова, С. М. Современная гидрохимическая характеристика водных объектов Казахстанской части бассейна р. Ертис / С. М. Романова, Е. Г. Крупа, А. С. Серикова, С. Н. Алексеев // Гидрометеорология и экология. – 2024. – №1. – С. 121-132 Режим доступа:</w:t>
      </w:r>
      <w:r>
        <w:rPr>
          <w:rFonts w:ascii="Times New Roman" w:hAnsi="Times New Roman" w:cs="Times New Roman"/>
          <w:color w:val="5B9BD5" w:themeColor="accent1"/>
          <w:sz w:val="28"/>
          <w:szCs w:val="28"/>
          <w:u w:val="single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66FF"/>
          <w:sz w:val="28"/>
          <w:szCs w:val="28"/>
          <w:u w:val="single"/>
        </w:rPr>
        <w:t>https://cyberleninka.ru/article/n/sovremennaya-gidrohimicheskaya-harakteristika-vodnyh-obektov-kazahstanskoy-chasti-basseyna-r-ertis</w:t>
      </w:r>
    </w:p>
    <w:sectPr>
      <w:footerReference r:id="rId6" w:type="first"/>
      <w:footerReference r:id="rId5" w:type="default"/>
      <w:pgSz w:w="11906" w:h="16838"/>
      <w:pgMar w:top="1134" w:right="850" w:bottom="1134" w:left="993" w:header="708" w:footer="708" w:gutter="0"/>
      <w:pgNumType w:start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07161922"/>
      <w:docPartObj>
        <w:docPartGallery w:val="AutoText"/>
      </w:docPartObj>
    </w:sdtPr>
    <w:sdtContent>
      <w:p w14:paraId="2B490BB2"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C15E1">
    <w:pPr>
      <w:pStyle w:val="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FB2ABC"/>
    <w:multiLevelType w:val="multilevel"/>
    <w:tmpl w:val="1FFB2AB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2F9519A"/>
    <w:multiLevelType w:val="multilevel"/>
    <w:tmpl w:val="22F9519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A8B15F6"/>
    <w:multiLevelType w:val="multilevel"/>
    <w:tmpl w:val="3A8B15F6"/>
    <w:lvl w:ilvl="0" w:tentative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54BD2724"/>
    <w:multiLevelType w:val="multilevel"/>
    <w:tmpl w:val="54BD272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299"/>
    <w:rsid w:val="00000D44"/>
    <w:rsid w:val="0000689E"/>
    <w:rsid w:val="0002487E"/>
    <w:rsid w:val="00060BF6"/>
    <w:rsid w:val="000645C3"/>
    <w:rsid w:val="00071AC7"/>
    <w:rsid w:val="000C15F6"/>
    <w:rsid w:val="000C63CD"/>
    <w:rsid w:val="000E6240"/>
    <w:rsid w:val="00112014"/>
    <w:rsid w:val="00113072"/>
    <w:rsid w:val="00131BA9"/>
    <w:rsid w:val="001438FB"/>
    <w:rsid w:val="0015140D"/>
    <w:rsid w:val="00153DA4"/>
    <w:rsid w:val="0015727D"/>
    <w:rsid w:val="00160AF1"/>
    <w:rsid w:val="00176A3F"/>
    <w:rsid w:val="001869D0"/>
    <w:rsid w:val="0019723A"/>
    <w:rsid w:val="001A56D9"/>
    <w:rsid w:val="001C3CB9"/>
    <w:rsid w:val="001C4ACD"/>
    <w:rsid w:val="001D1F9A"/>
    <w:rsid w:val="001E1602"/>
    <w:rsid w:val="001E1612"/>
    <w:rsid w:val="00224970"/>
    <w:rsid w:val="00237717"/>
    <w:rsid w:val="002532AC"/>
    <w:rsid w:val="0026681B"/>
    <w:rsid w:val="002921AD"/>
    <w:rsid w:val="002B5D52"/>
    <w:rsid w:val="002C0715"/>
    <w:rsid w:val="002C0F3A"/>
    <w:rsid w:val="002C5096"/>
    <w:rsid w:val="002D3E84"/>
    <w:rsid w:val="002D5244"/>
    <w:rsid w:val="002E09B1"/>
    <w:rsid w:val="002E1EB8"/>
    <w:rsid w:val="002E3109"/>
    <w:rsid w:val="002E61B9"/>
    <w:rsid w:val="00301BCA"/>
    <w:rsid w:val="0030516F"/>
    <w:rsid w:val="003129B2"/>
    <w:rsid w:val="00317D6A"/>
    <w:rsid w:val="00321169"/>
    <w:rsid w:val="00330FEA"/>
    <w:rsid w:val="003414E7"/>
    <w:rsid w:val="0035365A"/>
    <w:rsid w:val="0035418B"/>
    <w:rsid w:val="003577C5"/>
    <w:rsid w:val="003725E0"/>
    <w:rsid w:val="003A4F8E"/>
    <w:rsid w:val="003B06A8"/>
    <w:rsid w:val="003C7D5C"/>
    <w:rsid w:val="003D3669"/>
    <w:rsid w:val="003E33D1"/>
    <w:rsid w:val="003F5B0E"/>
    <w:rsid w:val="004046F2"/>
    <w:rsid w:val="004149B4"/>
    <w:rsid w:val="004261C6"/>
    <w:rsid w:val="00462F08"/>
    <w:rsid w:val="00470DAA"/>
    <w:rsid w:val="004A3B8D"/>
    <w:rsid w:val="004B3B6A"/>
    <w:rsid w:val="004C0613"/>
    <w:rsid w:val="004F1692"/>
    <w:rsid w:val="00555056"/>
    <w:rsid w:val="00555F54"/>
    <w:rsid w:val="00565F50"/>
    <w:rsid w:val="005721E7"/>
    <w:rsid w:val="0058785C"/>
    <w:rsid w:val="005900CB"/>
    <w:rsid w:val="005C214F"/>
    <w:rsid w:val="005D2539"/>
    <w:rsid w:val="005E2C3B"/>
    <w:rsid w:val="00602B77"/>
    <w:rsid w:val="006174EA"/>
    <w:rsid w:val="00641707"/>
    <w:rsid w:val="006444B6"/>
    <w:rsid w:val="00664B19"/>
    <w:rsid w:val="0068252D"/>
    <w:rsid w:val="006A1A44"/>
    <w:rsid w:val="006B0B59"/>
    <w:rsid w:val="006B1ECD"/>
    <w:rsid w:val="00715DDB"/>
    <w:rsid w:val="00722835"/>
    <w:rsid w:val="0072625B"/>
    <w:rsid w:val="00742B5E"/>
    <w:rsid w:val="0077630C"/>
    <w:rsid w:val="00795853"/>
    <w:rsid w:val="007A2BCF"/>
    <w:rsid w:val="007B7436"/>
    <w:rsid w:val="007D1AB5"/>
    <w:rsid w:val="007D405E"/>
    <w:rsid w:val="007D4DBB"/>
    <w:rsid w:val="007D4F52"/>
    <w:rsid w:val="00811348"/>
    <w:rsid w:val="008221E1"/>
    <w:rsid w:val="00827193"/>
    <w:rsid w:val="00830F33"/>
    <w:rsid w:val="008373C6"/>
    <w:rsid w:val="0086252C"/>
    <w:rsid w:val="00862C4C"/>
    <w:rsid w:val="00872371"/>
    <w:rsid w:val="008C32ED"/>
    <w:rsid w:val="008D61C4"/>
    <w:rsid w:val="008D6FFC"/>
    <w:rsid w:val="008E1450"/>
    <w:rsid w:val="008F0D7A"/>
    <w:rsid w:val="008F6E45"/>
    <w:rsid w:val="00904EEC"/>
    <w:rsid w:val="00925811"/>
    <w:rsid w:val="00941F9A"/>
    <w:rsid w:val="009524DD"/>
    <w:rsid w:val="00961D68"/>
    <w:rsid w:val="0096651E"/>
    <w:rsid w:val="0097383C"/>
    <w:rsid w:val="0098645D"/>
    <w:rsid w:val="009A732E"/>
    <w:rsid w:val="009B7979"/>
    <w:rsid w:val="009C267B"/>
    <w:rsid w:val="009E1B63"/>
    <w:rsid w:val="00A04C22"/>
    <w:rsid w:val="00A14505"/>
    <w:rsid w:val="00A31969"/>
    <w:rsid w:val="00A40E7D"/>
    <w:rsid w:val="00A55C49"/>
    <w:rsid w:val="00A65F7F"/>
    <w:rsid w:val="00A66209"/>
    <w:rsid w:val="00A6673F"/>
    <w:rsid w:val="00A96C6C"/>
    <w:rsid w:val="00AB054C"/>
    <w:rsid w:val="00AB0A2C"/>
    <w:rsid w:val="00AC1728"/>
    <w:rsid w:val="00AE1F07"/>
    <w:rsid w:val="00AE6AFB"/>
    <w:rsid w:val="00AF09F0"/>
    <w:rsid w:val="00AF7C84"/>
    <w:rsid w:val="00B04B88"/>
    <w:rsid w:val="00B07C05"/>
    <w:rsid w:val="00B11C7B"/>
    <w:rsid w:val="00B22299"/>
    <w:rsid w:val="00B405B9"/>
    <w:rsid w:val="00B772FC"/>
    <w:rsid w:val="00B94F35"/>
    <w:rsid w:val="00BA0BFF"/>
    <w:rsid w:val="00BA4B14"/>
    <w:rsid w:val="00BB235E"/>
    <w:rsid w:val="00BB598A"/>
    <w:rsid w:val="00BC32C7"/>
    <w:rsid w:val="00BD3090"/>
    <w:rsid w:val="00BD38D6"/>
    <w:rsid w:val="00BF70D2"/>
    <w:rsid w:val="00C077FB"/>
    <w:rsid w:val="00C30F3F"/>
    <w:rsid w:val="00C376E2"/>
    <w:rsid w:val="00C5129B"/>
    <w:rsid w:val="00C635DC"/>
    <w:rsid w:val="00C72B97"/>
    <w:rsid w:val="00C76E28"/>
    <w:rsid w:val="00C947E7"/>
    <w:rsid w:val="00CC4D56"/>
    <w:rsid w:val="00CE7B3A"/>
    <w:rsid w:val="00CF5C68"/>
    <w:rsid w:val="00CF66FB"/>
    <w:rsid w:val="00D078E2"/>
    <w:rsid w:val="00D122F0"/>
    <w:rsid w:val="00D13603"/>
    <w:rsid w:val="00D14237"/>
    <w:rsid w:val="00D25F8B"/>
    <w:rsid w:val="00D61CFD"/>
    <w:rsid w:val="00D657D3"/>
    <w:rsid w:val="00D859E0"/>
    <w:rsid w:val="00D965EF"/>
    <w:rsid w:val="00D97143"/>
    <w:rsid w:val="00DA108B"/>
    <w:rsid w:val="00DF7BC4"/>
    <w:rsid w:val="00E058DB"/>
    <w:rsid w:val="00E27158"/>
    <w:rsid w:val="00E30B80"/>
    <w:rsid w:val="00E3124A"/>
    <w:rsid w:val="00E41E94"/>
    <w:rsid w:val="00E50907"/>
    <w:rsid w:val="00E56DB1"/>
    <w:rsid w:val="00E7087E"/>
    <w:rsid w:val="00E827D3"/>
    <w:rsid w:val="00E9247A"/>
    <w:rsid w:val="00EC437F"/>
    <w:rsid w:val="00EF0C80"/>
    <w:rsid w:val="00EF4003"/>
    <w:rsid w:val="00EF7B0E"/>
    <w:rsid w:val="00F01A09"/>
    <w:rsid w:val="00F14956"/>
    <w:rsid w:val="00F2393F"/>
    <w:rsid w:val="00F23C08"/>
    <w:rsid w:val="00F363AA"/>
    <w:rsid w:val="00F40886"/>
    <w:rsid w:val="00F449AC"/>
    <w:rsid w:val="00F50211"/>
    <w:rsid w:val="00F85F0A"/>
    <w:rsid w:val="00F94440"/>
    <w:rsid w:val="00FC59AB"/>
    <w:rsid w:val="00FD00FF"/>
    <w:rsid w:val="00FD54F0"/>
    <w:rsid w:val="00FF7D6E"/>
    <w:rsid w:val="700A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styleId="3">
    <w:name w:val="heading 3"/>
    <w:basedOn w:val="1"/>
    <w:next w:val="1"/>
    <w:link w:val="14"/>
    <w:semiHidden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paragraph" w:styleId="4">
    <w:name w:val="heading 4"/>
    <w:basedOn w:val="1"/>
    <w:next w:val="1"/>
    <w:link w:val="13"/>
    <w:semiHidden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header"/>
    <w:basedOn w:val="1"/>
    <w:link w:val="1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footer"/>
    <w:basedOn w:val="1"/>
    <w:link w:val="1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Верхний колонтитул Знак"/>
    <w:basedOn w:val="5"/>
    <w:link w:val="8"/>
    <w:qFormat/>
    <w:uiPriority w:val="99"/>
  </w:style>
  <w:style w:type="character" w:customStyle="1" w:styleId="11">
    <w:name w:val="Нижний колонтитул Знак"/>
    <w:basedOn w:val="5"/>
    <w:link w:val="9"/>
    <w:uiPriority w:val="99"/>
  </w:style>
  <w:style w:type="paragraph" w:styleId="12">
    <w:name w:val="List Paragraph"/>
    <w:basedOn w:val="1"/>
    <w:qFormat/>
    <w:uiPriority w:val="34"/>
    <w:pPr>
      <w:ind w:left="720"/>
      <w:contextualSpacing/>
    </w:pPr>
  </w:style>
  <w:style w:type="character" w:customStyle="1" w:styleId="13">
    <w:name w:val="Заголовок 4 Знак"/>
    <w:basedOn w:val="5"/>
    <w:link w:val="4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14">
    <w:name w:val="Заголовок 3 Знак"/>
    <w:basedOn w:val="5"/>
    <w:link w:val="3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  <w:sz w:val="24"/>
      <w:szCs w:val="24"/>
    </w:rPr>
  </w:style>
  <w:style w:type="character" w:customStyle="1" w:styleId="15">
    <w:name w:val="Заголовок 1 Знак"/>
    <w:basedOn w:val="5"/>
    <w:link w:val="2"/>
    <w:qFormat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paragraph" w:customStyle="1" w:styleId="16">
    <w:name w:val="TOC Heading"/>
    <w:basedOn w:val="2"/>
    <w:next w:val="1"/>
    <w:unhideWhenUsed/>
    <w:qFormat/>
    <w:uiPriority w:val="39"/>
    <w:pPr>
      <w:outlineLvl w:val="9"/>
    </w:pPr>
    <w:rPr>
      <w:lang w:eastAsia="zh-CN"/>
    </w:rPr>
  </w:style>
  <w:style w:type="character" w:customStyle="1" w:styleId="1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chart" Target="charts/chart1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Рис.4</a:t>
            </a:r>
            <a:endParaRPr lang="ru-RU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Кальций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m/d/yyyy</c:formatCode>
                <c:ptCount val="2"/>
                <c:pt idx="0" c:formatCode="m/d/yyyy">
                  <c:v>45940</c:v>
                </c:pt>
                <c:pt idx="1" c:formatCode="m/d/yyyy">
                  <c:v>45999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7.5</c:v>
                </c:pt>
                <c:pt idx="1">
                  <c:v>9.5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pH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m/d/yyyy</c:formatCode>
                <c:ptCount val="2"/>
                <c:pt idx="0" c:formatCode="m/d/yyyy">
                  <c:v>45940</c:v>
                </c:pt>
                <c:pt idx="1" c:formatCode="m/d/yyyy">
                  <c:v>45999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2"/>
                <c:pt idx="0">
                  <c:v>7</c:v>
                </c:pt>
                <c:pt idx="1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77"/>
        <c:axId val="1783140672"/>
        <c:axId val="1783141632"/>
      </c:barChart>
      <c:barChart>
        <c:barDir val="col"/>
        <c:grouping val="clustere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Сульфаты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m/d/yyyy</c:formatCode>
                <c:ptCount val="2"/>
                <c:pt idx="0" c:formatCode="m/d/yyyy">
                  <c:v>45940</c:v>
                </c:pt>
                <c:pt idx="1" c:formatCode="m/d/yyyy">
                  <c:v>45999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2"/>
                <c:pt idx="0">
                  <c:v>307.2</c:v>
                </c:pt>
                <c:pt idx="1">
                  <c:v>230.4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100"/>
        <c:axId val="1783161792"/>
        <c:axId val="1783132992"/>
      </c:barChart>
      <c:dateAx>
        <c:axId val="1783140672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783141632"/>
        <c:crosses val="autoZero"/>
        <c:auto val="1"/>
        <c:lblOffset val="100"/>
        <c:baseTimeUnit val="months"/>
      </c:dateAx>
      <c:valAx>
        <c:axId val="1783141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783140672"/>
        <c:crosses val="autoZero"/>
        <c:crossBetween val="between"/>
      </c:valAx>
      <c:dateAx>
        <c:axId val="1783161792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783132992"/>
        <c:crosses val="autoZero"/>
        <c:auto val="1"/>
        <c:lblOffset val="100"/>
        <c:baseTimeUnit val="months"/>
        <c:majorUnit val="1"/>
        <c:majorTimeUnit val="days"/>
        <c:minorUnit val="1"/>
        <c:minorTimeUnit val="days"/>
      </c:dateAx>
      <c:valAx>
        <c:axId val="178313299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783161792"/>
        <c:crosses val="max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a9b036a7-b39d-4917-b09a-0253fd31c456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ru-RU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64FFFB-932E-4D4A-8761-A8C1AEED82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2550</Words>
  <Characters>17830</Characters>
  <Lines>396</Lines>
  <Paragraphs>128</Paragraphs>
  <TotalTime>30</TotalTime>
  <ScaleCrop>false</ScaleCrop>
  <LinksUpToDate>false</LinksUpToDate>
  <CharactersWithSpaces>20252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2025-12-14T17:56:00Z</dcterms:created>
  <dc:creator>Kate</dc:creator>
  <cp:lastModifiedBy>User</cp:lastModifiedBy>
  <cp:lastPrinted>2025-02-24T15:53:00Z</cp:lastPrinted>
  <dcterms:modified xsi:type="dcterms:W3CDTF">2025-12-15T10:38:14Z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9B93C0E76C474378B4C5C3110C2DE571_12</vt:lpwstr>
  </property>
</Properties>
</file>