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79F4142">
      <w:pPr>
        <w:pStyle w:val="10"/>
        <w:spacing w:line="360" w:lineRule="auto"/>
        <w:jc w:val="center"/>
        <w:rPr>
          <w:szCs w:val="28"/>
        </w:rPr>
      </w:pPr>
      <w:r>
        <w:rPr>
          <w:szCs w:val="28"/>
        </w:rPr>
        <w:t>МАОУ «Гимназия №39 им. Файзуллина А.Ш.»</w:t>
      </w:r>
    </w:p>
    <w:p w14:paraId="52DE1BC7">
      <w:pPr>
        <w:pStyle w:val="10"/>
        <w:spacing w:line="360" w:lineRule="auto"/>
        <w:jc w:val="center"/>
        <w:rPr>
          <w:szCs w:val="28"/>
          <w:shd w:val="clear" w:color="auto" w:fill="FFFFFF"/>
        </w:rPr>
      </w:pPr>
    </w:p>
    <w:p w14:paraId="7F232DB8">
      <w:pPr>
        <w:pStyle w:val="10"/>
        <w:spacing w:line="360" w:lineRule="auto"/>
        <w:jc w:val="center"/>
        <w:rPr>
          <w:szCs w:val="28"/>
          <w:shd w:val="clear" w:color="auto" w:fill="FFFFFF"/>
        </w:rPr>
      </w:pPr>
    </w:p>
    <w:p w14:paraId="6C0CCCA6">
      <w:pPr>
        <w:pStyle w:val="10"/>
        <w:spacing w:line="360" w:lineRule="auto"/>
        <w:jc w:val="center"/>
        <w:rPr>
          <w:iCs/>
          <w:szCs w:val="28"/>
        </w:rPr>
      </w:pPr>
    </w:p>
    <w:p w14:paraId="466E38A3">
      <w:pPr>
        <w:pStyle w:val="10"/>
        <w:spacing w:line="360" w:lineRule="auto"/>
        <w:jc w:val="center"/>
        <w:rPr>
          <w:szCs w:val="28"/>
        </w:rPr>
      </w:pPr>
    </w:p>
    <w:p w14:paraId="1959E281">
      <w:pPr>
        <w:pStyle w:val="10"/>
        <w:spacing w:line="360" w:lineRule="auto"/>
        <w:jc w:val="center"/>
        <w:rPr>
          <w:szCs w:val="28"/>
        </w:rPr>
      </w:pPr>
    </w:p>
    <w:p w14:paraId="66142644">
      <w:pPr>
        <w:pStyle w:val="10"/>
        <w:spacing w:line="360" w:lineRule="auto"/>
        <w:jc w:val="center"/>
        <w:rPr>
          <w:szCs w:val="28"/>
        </w:rPr>
      </w:pPr>
    </w:p>
    <w:p w14:paraId="41930296">
      <w:pPr>
        <w:pStyle w:val="10"/>
        <w:spacing w:line="360" w:lineRule="auto"/>
        <w:jc w:val="center"/>
        <w:rPr>
          <w:szCs w:val="28"/>
        </w:rPr>
      </w:pPr>
    </w:p>
    <w:p w14:paraId="0A00C971">
      <w:pPr>
        <w:pStyle w:val="10"/>
        <w:spacing w:line="360" w:lineRule="auto"/>
        <w:jc w:val="center"/>
        <w:rPr>
          <w:szCs w:val="28"/>
        </w:rPr>
      </w:pPr>
      <w:r>
        <w:rPr>
          <w:rFonts w:eastAsia="+mj-ea"/>
          <w:bCs/>
          <w:color w:val="000000"/>
          <w:kern w:val="24"/>
          <w:szCs w:val="28"/>
        </w:rPr>
        <w:t xml:space="preserve">Опыт создания травяного сообщества в городе для целей декарбонизации городских экосистем (на примере г.Уфы) </w:t>
      </w:r>
    </w:p>
    <w:p w14:paraId="540C950D">
      <w:pPr>
        <w:pStyle w:val="10"/>
        <w:spacing w:line="360" w:lineRule="auto"/>
        <w:jc w:val="center"/>
        <w:rPr>
          <w:szCs w:val="28"/>
        </w:rPr>
      </w:pPr>
    </w:p>
    <w:p w14:paraId="743805D1">
      <w:pPr>
        <w:pStyle w:val="10"/>
        <w:spacing w:line="360" w:lineRule="auto"/>
        <w:jc w:val="center"/>
        <w:rPr>
          <w:szCs w:val="28"/>
        </w:rPr>
      </w:pPr>
    </w:p>
    <w:p w14:paraId="76E1E683">
      <w:pPr>
        <w:pStyle w:val="10"/>
        <w:spacing w:line="360" w:lineRule="auto"/>
        <w:jc w:val="center"/>
        <w:rPr>
          <w:szCs w:val="28"/>
        </w:rPr>
      </w:pPr>
    </w:p>
    <w:p w14:paraId="32B6EBCE">
      <w:pPr>
        <w:pStyle w:val="10"/>
        <w:spacing w:line="360" w:lineRule="auto"/>
        <w:jc w:val="center"/>
        <w:rPr>
          <w:szCs w:val="28"/>
        </w:rPr>
      </w:pPr>
    </w:p>
    <w:p w14:paraId="511A7879">
      <w:pPr>
        <w:pStyle w:val="10"/>
        <w:spacing w:line="360" w:lineRule="auto"/>
        <w:jc w:val="center"/>
        <w:rPr>
          <w:szCs w:val="28"/>
        </w:rPr>
      </w:pPr>
    </w:p>
    <w:p w14:paraId="62EB0CBB">
      <w:pPr>
        <w:pStyle w:val="10"/>
        <w:spacing w:line="360" w:lineRule="auto"/>
        <w:ind w:left="2124"/>
        <w:jc w:val="center"/>
        <w:rPr>
          <w:szCs w:val="28"/>
        </w:rPr>
      </w:pPr>
      <w:r>
        <w:rPr>
          <w:szCs w:val="28"/>
        </w:rPr>
        <w:t xml:space="preserve">                                       Ямалов Артем Сергеевич, 6 А класс</w:t>
      </w:r>
    </w:p>
    <w:p w14:paraId="0F978E1B">
      <w:pPr>
        <w:pStyle w:val="10"/>
        <w:spacing w:line="360" w:lineRule="auto"/>
        <w:ind w:left="2124"/>
        <w:jc w:val="center"/>
        <w:rPr>
          <w:szCs w:val="28"/>
        </w:rPr>
      </w:pPr>
    </w:p>
    <w:p w14:paraId="6EA28A7D">
      <w:pPr>
        <w:pStyle w:val="10"/>
        <w:spacing w:line="360" w:lineRule="auto"/>
        <w:ind w:left="2124"/>
        <w:jc w:val="center"/>
        <w:rPr>
          <w:b/>
          <w:szCs w:val="28"/>
        </w:rPr>
      </w:pPr>
    </w:p>
    <w:p w14:paraId="28E73829">
      <w:pPr>
        <w:pStyle w:val="10"/>
        <w:spacing w:line="360" w:lineRule="auto"/>
        <w:ind w:left="2124"/>
        <w:jc w:val="center"/>
        <w:rPr>
          <w:b/>
          <w:szCs w:val="28"/>
        </w:rPr>
      </w:pPr>
    </w:p>
    <w:p w14:paraId="41964169">
      <w:pPr>
        <w:pStyle w:val="10"/>
        <w:spacing w:line="360" w:lineRule="auto"/>
        <w:ind w:left="2124"/>
        <w:jc w:val="center"/>
        <w:rPr>
          <w:b/>
          <w:szCs w:val="28"/>
        </w:rPr>
      </w:pPr>
    </w:p>
    <w:p w14:paraId="0109DEF1">
      <w:pPr>
        <w:pStyle w:val="10"/>
        <w:spacing w:line="360" w:lineRule="auto"/>
        <w:ind w:left="2124"/>
        <w:rPr>
          <w:szCs w:val="28"/>
        </w:rPr>
      </w:pPr>
      <w:r>
        <w:rPr>
          <w:szCs w:val="28"/>
        </w:rPr>
        <w:t xml:space="preserve">                                Научный руководитель: д.б.н. С.М. Ямалов</w:t>
      </w:r>
    </w:p>
    <w:tbl>
      <w:tblPr>
        <w:tblStyle w:val="3"/>
        <w:tblW w:w="9780" w:type="dxa"/>
        <w:tblInd w:w="2124" w:type="dxa"/>
        <w:shd w:val="clear" w:color="auto" w:fill="FFFFFF"/>
        <w:tblLayout w:type="autofit"/>
        <w:tblCellMar>
          <w:top w:w="15" w:type="dxa"/>
          <w:left w:w="15" w:type="dxa"/>
          <w:bottom w:w="15" w:type="dxa"/>
          <w:right w:w="15" w:type="dxa"/>
        </w:tblCellMar>
      </w:tblPr>
      <w:tblGrid>
        <w:gridCol w:w="3302"/>
        <w:gridCol w:w="6478"/>
      </w:tblGrid>
      <w:tr w14:paraId="725F5966">
        <w:tblPrEx>
          <w:shd w:val="clear" w:color="auto" w:fill="FFFFFF"/>
          <w:tblCellMar>
            <w:top w:w="15" w:type="dxa"/>
            <w:left w:w="15" w:type="dxa"/>
            <w:bottom w:w="15" w:type="dxa"/>
            <w:right w:w="15" w:type="dxa"/>
          </w:tblCellMar>
        </w:tblPrEx>
        <w:trPr>
          <w:trHeight w:val="390" w:hRule="atLeast"/>
        </w:trPr>
        <w:tc>
          <w:tcPr>
            <w:tcW w:w="0" w:type="auto"/>
            <w:shd w:val="clear" w:color="auto" w:fill="FFFFFF"/>
            <w:tcMar>
              <w:top w:w="120" w:type="dxa"/>
              <w:left w:w="0" w:type="dxa"/>
              <w:bottom w:w="120" w:type="dxa"/>
              <w:right w:w="150" w:type="dxa"/>
            </w:tcMar>
          </w:tcPr>
          <w:p w14:paraId="5D4AA6B4">
            <w:pPr>
              <w:pStyle w:val="10"/>
              <w:spacing w:line="360" w:lineRule="auto"/>
              <w:rPr>
                <w:szCs w:val="28"/>
              </w:rPr>
            </w:pPr>
          </w:p>
          <w:p w14:paraId="5C23AC2C">
            <w:pPr>
              <w:pStyle w:val="10"/>
              <w:spacing w:line="360" w:lineRule="auto"/>
              <w:rPr>
                <w:szCs w:val="28"/>
              </w:rPr>
            </w:pPr>
          </w:p>
          <w:p w14:paraId="3F7D4A34">
            <w:pPr>
              <w:pStyle w:val="10"/>
              <w:spacing w:line="360" w:lineRule="auto"/>
              <w:rPr>
                <w:szCs w:val="28"/>
              </w:rPr>
            </w:pPr>
          </w:p>
          <w:p w14:paraId="24587E2D">
            <w:pPr>
              <w:pStyle w:val="10"/>
              <w:spacing w:line="360" w:lineRule="auto"/>
              <w:rPr>
                <w:rFonts w:ascii="Arial" w:hAnsi="Arial" w:cs="Arial"/>
                <w:b/>
                <w:bCs/>
                <w:color w:val="202124"/>
                <w:sz w:val="21"/>
                <w:szCs w:val="21"/>
              </w:rPr>
            </w:pPr>
          </w:p>
        </w:tc>
        <w:tc>
          <w:tcPr>
            <w:tcW w:w="0" w:type="auto"/>
            <w:shd w:val="clear" w:color="auto" w:fill="FFFFFF"/>
            <w:tcMar>
              <w:top w:w="120" w:type="dxa"/>
              <w:left w:w="150" w:type="dxa"/>
              <w:bottom w:w="120" w:type="dxa"/>
              <w:right w:w="150" w:type="dxa"/>
            </w:tcMar>
          </w:tcPr>
          <w:p w14:paraId="79E251CB">
            <w:pPr>
              <w:spacing w:line="240" w:lineRule="auto"/>
              <w:rPr>
                <w:rFonts w:ascii="Arial" w:hAnsi="Arial" w:eastAsia="Times New Roman" w:cs="Arial"/>
                <w:b/>
                <w:bCs/>
                <w:color w:val="202124"/>
                <w:sz w:val="21"/>
                <w:szCs w:val="21"/>
                <w:lang w:eastAsia="ru-RU"/>
              </w:rPr>
            </w:pPr>
          </w:p>
        </w:tc>
      </w:tr>
    </w:tbl>
    <w:p w14:paraId="2A473C9A">
      <w:pPr>
        <w:pStyle w:val="10"/>
        <w:spacing w:line="360" w:lineRule="auto"/>
        <w:ind w:left="2124"/>
        <w:jc w:val="center"/>
        <w:rPr>
          <w:szCs w:val="28"/>
        </w:rPr>
      </w:pPr>
    </w:p>
    <w:p w14:paraId="2D622EB9">
      <w:pPr>
        <w:pStyle w:val="10"/>
        <w:spacing w:line="360" w:lineRule="auto"/>
        <w:ind w:left="2124"/>
        <w:jc w:val="center"/>
        <w:rPr>
          <w:szCs w:val="28"/>
        </w:rPr>
      </w:pPr>
    </w:p>
    <w:p w14:paraId="4328D0A5">
      <w:pPr>
        <w:pStyle w:val="10"/>
        <w:spacing w:line="360" w:lineRule="auto"/>
        <w:ind w:left="2124"/>
        <w:jc w:val="center"/>
        <w:rPr>
          <w:szCs w:val="28"/>
        </w:rPr>
      </w:pPr>
    </w:p>
    <w:p w14:paraId="0A3D5817">
      <w:pPr>
        <w:pStyle w:val="10"/>
        <w:spacing w:line="360" w:lineRule="auto"/>
        <w:ind w:left="2124"/>
        <w:jc w:val="center"/>
        <w:rPr>
          <w:szCs w:val="28"/>
        </w:rPr>
      </w:pPr>
    </w:p>
    <w:p w14:paraId="407F1023">
      <w:pPr>
        <w:pStyle w:val="10"/>
        <w:spacing w:line="360" w:lineRule="auto"/>
        <w:jc w:val="center"/>
        <w:rPr>
          <w:b/>
          <w:szCs w:val="28"/>
        </w:rPr>
      </w:pPr>
      <w:r>
        <w:rPr>
          <w:szCs w:val="28"/>
        </w:rPr>
        <w:t>УФА - 2025</w:t>
      </w:r>
      <w:r>
        <w:rPr>
          <w:szCs w:val="28"/>
        </w:rPr>
        <w:br w:type="page"/>
      </w:r>
    </w:p>
    <w:p w14:paraId="060EF0E7">
      <w:pPr>
        <w:jc w:val="center"/>
        <w:rPr>
          <w:rFonts w:cs="Times New Roman"/>
        </w:rPr>
      </w:pPr>
      <w:r>
        <w:rPr>
          <w:rFonts w:cs="Times New Roman"/>
        </w:rPr>
        <w:t>Оглавление</w:t>
      </w:r>
    </w:p>
    <w:p w14:paraId="50E0492F">
      <w:pPr>
        <w:jc w:val="center"/>
        <w:rPr>
          <w:rFonts w:cs="Times New Roman"/>
        </w:rPr>
      </w:pPr>
    </w:p>
    <w:tbl>
      <w:tblPr>
        <w:tblStyle w:val="3"/>
        <w:tblW w:w="95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70"/>
        <w:gridCol w:w="736"/>
      </w:tblGrid>
      <w:tr w14:paraId="15166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770" w:type="dxa"/>
          </w:tcPr>
          <w:p w14:paraId="04CB32E2">
            <w:pPr>
              <w:rPr>
                <w:rFonts w:cs="Times New Roman"/>
              </w:rPr>
            </w:pPr>
          </w:p>
        </w:tc>
        <w:tc>
          <w:tcPr>
            <w:tcW w:w="736" w:type="dxa"/>
          </w:tcPr>
          <w:p w14:paraId="26BB2062">
            <w:pPr>
              <w:jc w:val="center"/>
              <w:rPr>
                <w:rFonts w:cs="Times New Roman"/>
              </w:rPr>
            </w:pPr>
            <w:r>
              <w:rPr>
                <w:rFonts w:cs="Times New Roman"/>
              </w:rPr>
              <w:t>Стр.</w:t>
            </w:r>
          </w:p>
        </w:tc>
      </w:tr>
      <w:tr w14:paraId="18682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8770" w:type="dxa"/>
          </w:tcPr>
          <w:p w14:paraId="333C8FCD">
            <w:pPr>
              <w:rPr>
                <w:rFonts w:cs="Times New Roman"/>
              </w:rPr>
            </w:pPr>
            <w:r>
              <w:rPr>
                <w:rFonts w:cs="Times New Roman"/>
              </w:rPr>
              <w:t>Введение……………………………………………………………………..</w:t>
            </w:r>
          </w:p>
        </w:tc>
        <w:tc>
          <w:tcPr>
            <w:tcW w:w="736" w:type="dxa"/>
          </w:tcPr>
          <w:p w14:paraId="7A4B382B">
            <w:pPr>
              <w:jc w:val="center"/>
              <w:rPr>
                <w:rFonts w:cs="Times New Roman"/>
              </w:rPr>
            </w:pPr>
            <w:r>
              <w:rPr>
                <w:rFonts w:cs="Times New Roman"/>
              </w:rPr>
              <w:t>3</w:t>
            </w:r>
          </w:p>
        </w:tc>
      </w:tr>
      <w:tr w14:paraId="19438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70" w:type="dxa"/>
          </w:tcPr>
          <w:p w14:paraId="21A513DE">
            <w:pPr>
              <w:pStyle w:val="18"/>
              <w:ind w:left="0"/>
              <w:rPr>
                <w:rFonts w:cs="Times New Roman"/>
              </w:rPr>
            </w:pPr>
            <w:r>
              <w:rPr>
                <w:rFonts w:cs="Times New Roman"/>
              </w:rPr>
              <w:t>Глава 1. Что такое карбоновый полигон?</w:t>
            </w:r>
          </w:p>
          <w:p w14:paraId="67CDD7DB">
            <w:pPr>
              <w:pStyle w:val="18"/>
              <w:numPr>
                <w:ilvl w:val="1"/>
                <w:numId w:val="1"/>
              </w:numPr>
              <w:ind w:right="-701" w:firstLine="26"/>
              <w:rPr>
                <w:rFonts w:cs="Times New Roman"/>
              </w:rPr>
            </w:pPr>
            <w:r>
              <w:rPr>
                <w:rFonts w:cs="Times New Roman"/>
              </w:rPr>
              <w:t xml:space="preserve">Карбоновые полигоны в городе……………………………..      </w:t>
            </w:r>
          </w:p>
          <w:p w14:paraId="3FB49F9E">
            <w:pPr>
              <w:pStyle w:val="18"/>
              <w:numPr>
                <w:ilvl w:val="1"/>
                <w:numId w:val="1"/>
              </w:numPr>
              <w:ind w:firstLine="26"/>
              <w:rPr>
                <w:rFonts w:cs="Times New Roman"/>
              </w:rPr>
            </w:pPr>
            <w:r>
              <w:rPr>
                <w:rFonts w:cs="Times New Roman"/>
              </w:rPr>
              <w:t>Развитие карбоновых полигонов на Южном Урале………...</w:t>
            </w:r>
          </w:p>
        </w:tc>
        <w:tc>
          <w:tcPr>
            <w:tcW w:w="736" w:type="dxa"/>
          </w:tcPr>
          <w:p w14:paraId="02EF84D8">
            <w:pPr>
              <w:jc w:val="center"/>
              <w:rPr>
                <w:rFonts w:cs="Times New Roman"/>
              </w:rPr>
            </w:pPr>
            <w:r>
              <w:rPr>
                <w:rFonts w:cs="Times New Roman"/>
              </w:rPr>
              <w:t>5</w:t>
            </w:r>
          </w:p>
          <w:p w14:paraId="459A4589">
            <w:pPr>
              <w:jc w:val="center"/>
              <w:rPr>
                <w:rFonts w:cs="Times New Roman"/>
              </w:rPr>
            </w:pPr>
            <w:r>
              <w:rPr>
                <w:rFonts w:cs="Times New Roman"/>
              </w:rPr>
              <w:t>5</w:t>
            </w:r>
          </w:p>
          <w:p w14:paraId="5B14866E">
            <w:pPr>
              <w:jc w:val="center"/>
              <w:rPr>
                <w:rFonts w:cs="Times New Roman"/>
                <w:lang w:val="en-US"/>
              </w:rPr>
            </w:pPr>
            <w:r>
              <w:rPr>
                <w:rFonts w:cs="Times New Roman"/>
                <w:lang w:val="en-US"/>
              </w:rPr>
              <w:t>8</w:t>
            </w:r>
          </w:p>
        </w:tc>
      </w:tr>
      <w:tr w14:paraId="490F6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70" w:type="dxa"/>
          </w:tcPr>
          <w:p w14:paraId="4A493D45">
            <w:pPr>
              <w:pStyle w:val="18"/>
              <w:ind w:left="0"/>
              <w:rPr>
                <w:rFonts w:cs="Times New Roman"/>
              </w:rPr>
            </w:pPr>
            <w:r>
              <w:rPr>
                <w:rFonts w:cs="Times New Roman"/>
              </w:rPr>
              <w:t>Глава 2. Природные условия территории исследования………………</w:t>
            </w:r>
          </w:p>
        </w:tc>
        <w:tc>
          <w:tcPr>
            <w:tcW w:w="736" w:type="dxa"/>
          </w:tcPr>
          <w:p w14:paraId="574AE511">
            <w:pPr>
              <w:jc w:val="center"/>
              <w:rPr>
                <w:rFonts w:cs="Times New Roman"/>
              </w:rPr>
            </w:pPr>
            <w:r>
              <w:rPr>
                <w:rFonts w:cs="Times New Roman"/>
              </w:rPr>
              <w:t>9</w:t>
            </w:r>
          </w:p>
        </w:tc>
      </w:tr>
      <w:tr w14:paraId="2F6C1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8770" w:type="dxa"/>
          </w:tcPr>
          <w:p w14:paraId="045872E6">
            <w:pPr>
              <w:rPr>
                <w:rFonts w:cs="Times New Roman"/>
              </w:rPr>
            </w:pPr>
            <w:r>
              <w:rPr>
                <w:rFonts w:cs="Times New Roman"/>
              </w:rPr>
              <w:t>Глава 3. Материал и методы исследования…………………………….</w:t>
            </w:r>
          </w:p>
        </w:tc>
        <w:tc>
          <w:tcPr>
            <w:tcW w:w="736" w:type="dxa"/>
          </w:tcPr>
          <w:p w14:paraId="5225F036">
            <w:pPr>
              <w:jc w:val="center"/>
              <w:rPr>
                <w:rFonts w:cs="Times New Roman"/>
                <w:lang w:val="en-US"/>
              </w:rPr>
            </w:pPr>
            <w:r>
              <w:rPr>
                <w:rFonts w:cs="Times New Roman"/>
              </w:rPr>
              <w:t>1</w:t>
            </w:r>
            <w:r>
              <w:rPr>
                <w:rFonts w:cs="Times New Roman"/>
                <w:lang w:val="en-US"/>
              </w:rPr>
              <w:t>0</w:t>
            </w:r>
          </w:p>
        </w:tc>
      </w:tr>
      <w:tr w14:paraId="73A2B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70" w:type="dxa"/>
          </w:tcPr>
          <w:p w14:paraId="1A706F2C">
            <w:pPr>
              <w:rPr>
                <w:rFonts w:cs="Times New Roman"/>
                <w:lang w:val="en-US"/>
              </w:rPr>
            </w:pPr>
            <w:r>
              <w:rPr>
                <w:rFonts w:cs="Times New Roman"/>
              </w:rPr>
              <w:t>Глава 4. Результаты исследования………………………………………..</w:t>
            </w:r>
            <w:r>
              <w:rPr>
                <w:rFonts w:cs="Times New Roman"/>
                <w:lang w:val="en-US"/>
              </w:rPr>
              <w:t>.</w:t>
            </w:r>
          </w:p>
        </w:tc>
        <w:tc>
          <w:tcPr>
            <w:tcW w:w="736" w:type="dxa"/>
          </w:tcPr>
          <w:p w14:paraId="714FDAB6">
            <w:pPr>
              <w:jc w:val="center"/>
              <w:rPr>
                <w:rFonts w:cs="Times New Roman"/>
                <w:lang w:val="en-US"/>
              </w:rPr>
            </w:pPr>
            <w:r>
              <w:rPr>
                <w:rFonts w:cs="Times New Roman"/>
              </w:rPr>
              <w:t>1</w:t>
            </w:r>
            <w:r>
              <w:rPr>
                <w:rFonts w:cs="Times New Roman"/>
                <w:lang w:val="en-US"/>
              </w:rPr>
              <w:t>2</w:t>
            </w:r>
          </w:p>
        </w:tc>
      </w:tr>
      <w:tr w14:paraId="46202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8770" w:type="dxa"/>
          </w:tcPr>
          <w:p w14:paraId="7D3498BA">
            <w:pPr>
              <w:ind w:left="709"/>
              <w:jc w:val="both"/>
              <w:rPr>
                <w:rFonts w:cs="Times New Roman"/>
              </w:rPr>
            </w:pPr>
            <w:r>
              <w:rPr>
                <w:rFonts w:cs="Times New Roman"/>
              </w:rPr>
              <w:t>4.1. Выбор площадки для закладки опыта………………………….</w:t>
            </w:r>
          </w:p>
        </w:tc>
        <w:tc>
          <w:tcPr>
            <w:tcW w:w="736" w:type="dxa"/>
          </w:tcPr>
          <w:p w14:paraId="082469A7">
            <w:pPr>
              <w:jc w:val="center"/>
              <w:rPr>
                <w:rFonts w:cs="Times New Roman"/>
                <w:lang w:val="en-US"/>
              </w:rPr>
            </w:pPr>
            <w:r>
              <w:rPr>
                <w:rFonts w:cs="Times New Roman"/>
              </w:rPr>
              <w:t>1</w:t>
            </w:r>
            <w:r>
              <w:rPr>
                <w:rFonts w:cs="Times New Roman"/>
                <w:lang w:val="en-US"/>
              </w:rPr>
              <w:t>2</w:t>
            </w:r>
          </w:p>
        </w:tc>
      </w:tr>
      <w:tr w14:paraId="184E7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70" w:type="dxa"/>
          </w:tcPr>
          <w:p w14:paraId="1DC20F57">
            <w:pPr>
              <w:ind w:left="709"/>
              <w:jc w:val="both"/>
              <w:rPr>
                <w:rFonts w:cs="Times New Roman"/>
              </w:rPr>
            </w:pPr>
            <w:r>
              <w:rPr>
                <w:rFonts w:cs="Times New Roman"/>
              </w:rPr>
              <w:t>4.2. Подбор травосмеси для создания травяного сообщества……..</w:t>
            </w:r>
          </w:p>
        </w:tc>
        <w:tc>
          <w:tcPr>
            <w:tcW w:w="736" w:type="dxa"/>
          </w:tcPr>
          <w:p w14:paraId="7FE40C1C">
            <w:pPr>
              <w:jc w:val="center"/>
              <w:rPr>
                <w:rFonts w:cs="Times New Roman"/>
                <w:lang w:val="en-US"/>
              </w:rPr>
            </w:pPr>
            <w:r>
              <w:rPr>
                <w:rFonts w:cs="Times New Roman"/>
              </w:rPr>
              <w:t>1</w:t>
            </w:r>
            <w:r>
              <w:rPr>
                <w:rFonts w:cs="Times New Roman"/>
                <w:lang w:val="en-US"/>
              </w:rPr>
              <w:t>3</w:t>
            </w:r>
          </w:p>
        </w:tc>
      </w:tr>
      <w:tr w14:paraId="1E197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70" w:type="dxa"/>
          </w:tcPr>
          <w:p w14:paraId="2272B99A">
            <w:pPr>
              <w:ind w:left="709"/>
              <w:jc w:val="both"/>
              <w:rPr>
                <w:rFonts w:cs="Times New Roman"/>
              </w:rPr>
            </w:pPr>
            <w:r>
              <w:rPr>
                <w:rFonts w:cs="Times New Roman"/>
              </w:rPr>
              <w:t>4.3. Создание и мониторинг травяного сообщества……………….</w:t>
            </w:r>
          </w:p>
        </w:tc>
        <w:tc>
          <w:tcPr>
            <w:tcW w:w="736" w:type="dxa"/>
          </w:tcPr>
          <w:p w14:paraId="23DB4C79">
            <w:pPr>
              <w:jc w:val="center"/>
              <w:rPr>
                <w:rFonts w:cs="Times New Roman"/>
                <w:lang w:val="en-US"/>
              </w:rPr>
            </w:pPr>
            <w:r>
              <w:rPr>
                <w:rFonts w:cs="Times New Roman"/>
                <w:lang w:val="en-US"/>
              </w:rPr>
              <w:t>14</w:t>
            </w:r>
          </w:p>
        </w:tc>
      </w:tr>
      <w:tr w14:paraId="2216C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70" w:type="dxa"/>
          </w:tcPr>
          <w:p w14:paraId="51C8CC96">
            <w:pPr>
              <w:rPr>
                <w:rFonts w:cs="Times New Roman"/>
              </w:rPr>
            </w:pPr>
            <w:r>
              <w:rPr>
                <w:rFonts w:cs="Times New Roman"/>
              </w:rPr>
              <w:t xml:space="preserve">          4.4. Расчет потока углекислого газа…</w:t>
            </w:r>
            <w:r>
              <w:rPr>
                <w:rFonts w:cs="Times New Roman"/>
                <w:lang w:val="en-US"/>
              </w:rPr>
              <w:t>……………………………...</w:t>
            </w:r>
            <w:r>
              <w:rPr>
                <w:rFonts w:cs="Times New Roman"/>
              </w:rPr>
              <w:t xml:space="preserve">  </w:t>
            </w:r>
          </w:p>
        </w:tc>
        <w:tc>
          <w:tcPr>
            <w:tcW w:w="736" w:type="dxa"/>
          </w:tcPr>
          <w:p w14:paraId="25724C53">
            <w:pPr>
              <w:jc w:val="center"/>
              <w:rPr>
                <w:rFonts w:cs="Times New Roman"/>
              </w:rPr>
            </w:pPr>
            <w:r>
              <w:rPr>
                <w:rFonts w:cs="Times New Roman"/>
              </w:rPr>
              <w:t>18</w:t>
            </w:r>
          </w:p>
        </w:tc>
      </w:tr>
      <w:tr w14:paraId="21FB2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70" w:type="dxa"/>
          </w:tcPr>
          <w:p w14:paraId="6A920C24">
            <w:pPr>
              <w:ind w:left="709"/>
              <w:jc w:val="both"/>
              <w:rPr>
                <w:rFonts w:cs="Times New Roman"/>
              </w:rPr>
            </w:pPr>
            <w:r>
              <w:rPr>
                <w:rFonts w:cs="Times New Roman"/>
              </w:rPr>
              <w:t>4.5. Возможность применения полученных результатов для создания карбонового полигона в городе…………………………..</w:t>
            </w:r>
          </w:p>
        </w:tc>
        <w:tc>
          <w:tcPr>
            <w:tcW w:w="736" w:type="dxa"/>
          </w:tcPr>
          <w:p w14:paraId="3EFD7C2C">
            <w:pPr>
              <w:jc w:val="center"/>
              <w:rPr>
                <w:rFonts w:cs="Times New Roman"/>
              </w:rPr>
            </w:pPr>
          </w:p>
          <w:p w14:paraId="00ED3654">
            <w:pPr>
              <w:jc w:val="center"/>
              <w:rPr>
                <w:rFonts w:cs="Times New Roman"/>
                <w:lang w:val="en-US"/>
              </w:rPr>
            </w:pPr>
            <w:r>
              <w:rPr>
                <w:rFonts w:cs="Times New Roman"/>
                <w:lang w:val="en-US"/>
              </w:rPr>
              <w:t>23</w:t>
            </w:r>
          </w:p>
        </w:tc>
      </w:tr>
      <w:tr w14:paraId="1A63A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70" w:type="dxa"/>
          </w:tcPr>
          <w:p w14:paraId="59E158D9">
            <w:pPr>
              <w:rPr>
                <w:rFonts w:cs="Times New Roman"/>
                <w:lang w:val="en-US"/>
              </w:rPr>
            </w:pPr>
            <w:r>
              <w:rPr>
                <w:rFonts w:cs="Times New Roman"/>
              </w:rPr>
              <w:t>Выводы……………………………………………………............................</w:t>
            </w:r>
          </w:p>
        </w:tc>
        <w:tc>
          <w:tcPr>
            <w:tcW w:w="736" w:type="dxa"/>
          </w:tcPr>
          <w:p w14:paraId="4F696681">
            <w:pPr>
              <w:jc w:val="center"/>
              <w:rPr>
                <w:rFonts w:cs="Times New Roman"/>
              </w:rPr>
            </w:pPr>
            <w:r>
              <w:rPr>
                <w:rFonts w:cs="Times New Roman"/>
              </w:rPr>
              <w:t>25</w:t>
            </w:r>
          </w:p>
        </w:tc>
      </w:tr>
      <w:tr w14:paraId="12749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8770" w:type="dxa"/>
          </w:tcPr>
          <w:p w14:paraId="7195F4FC">
            <w:pPr>
              <w:rPr>
                <w:rFonts w:cs="Times New Roman"/>
              </w:rPr>
            </w:pPr>
            <w:r>
              <w:rPr>
                <w:rFonts w:cs="Times New Roman"/>
              </w:rPr>
              <w:t>Литература…………………………………………………………………</w:t>
            </w:r>
          </w:p>
        </w:tc>
        <w:tc>
          <w:tcPr>
            <w:tcW w:w="736" w:type="dxa"/>
          </w:tcPr>
          <w:p w14:paraId="60DB93FA">
            <w:pPr>
              <w:jc w:val="center"/>
              <w:rPr>
                <w:rFonts w:cs="Times New Roman"/>
              </w:rPr>
            </w:pPr>
            <w:r>
              <w:rPr>
                <w:rFonts w:cs="Times New Roman"/>
              </w:rPr>
              <w:t>26</w:t>
            </w:r>
          </w:p>
        </w:tc>
      </w:tr>
    </w:tbl>
    <w:p w14:paraId="0ED4774C">
      <w:pPr>
        <w:jc w:val="center"/>
        <w:rPr>
          <w:rFonts w:cs="Times New Roman"/>
          <w:b/>
        </w:rPr>
      </w:pPr>
      <w:r>
        <w:rPr>
          <w:rFonts w:cs="Times New Roman"/>
          <w:b/>
        </w:rPr>
        <w:br w:type="page"/>
      </w:r>
      <w:r>
        <w:rPr>
          <w:rFonts w:cs="Times New Roman"/>
          <w:b/>
        </w:rPr>
        <w:t>Введение</w:t>
      </w:r>
    </w:p>
    <w:p w14:paraId="5DEC1737">
      <w:pPr>
        <w:spacing w:line="240" w:lineRule="auto"/>
        <w:ind w:firstLine="708"/>
        <w:jc w:val="both"/>
        <w:rPr>
          <w:rFonts w:cs="Times New Roman"/>
        </w:rPr>
      </w:pPr>
      <w:r>
        <w:rPr>
          <w:rFonts w:cs="Times New Roman"/>
        </w:rPr>
        <w:t>Улучшение среды обитания человека в городах - важный вызов современности ведь всё больше жителей планеты Земля становится горожанами. Озеленение - важный инструмент для решения этой задачи. Современные подходы к озеленению городов ставят целью увеличение биоразнообразия городских экосистем и создание природоподобных сообществ близких к естественным. Они могут решить много дополнительных задач, в том числе задачи по декарбонизации</w:t>
      </w:r>
      <w:r>
        <w:rPr>
          <w:rFonts w:cs="Times New Roman"/>
          <w:b/>
        </w:rPr>
        <w:t>.</w:t>
      </w:r>
      <w:r>
        <w:rPr>
          <w:rFonts w:hint="default" w:cs="Times New Roman"/>
          <w:b/>
          <w:lang w:val="ru-RU"/>
        </w:rPr>
        <w:t xml:space="preserve"> </w:t>
      </w:r>
      <w:r>
        <w:rPr>
          <w:rFonts w:cs="Times New Roman"/>
        </w:rPr>
        <w:t>Главными поглотителями углерода являются естественные экосистемы. В РФ – это прежде всего леса, болота, степи и луга. Травяные экосистемы, к которым относятся луга и степи,  играют существенную роль в глобальном углеродном цикле, аккумулируя значительные запасы органического углерода. Согласно современным оценкам они содержат 119-121 петаграмм углерода, что соответствует 10-30% общего пула почвенного органического углерода (ПОУ), при этом ежегодная скорость его секвестрации составляет приблизительно 0,5 Пг (Голубятников и др., 2023).</w:t>
      </w:r>
    </w:p>
    <w:p w14:paraId="2E95798B">
      <w:pPr>
        <w:spacing w:line="240" w:lineRule="auto"/>
        <w:ind w:firstLine="709"/>
        <w:jc w:val="both"/>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Города являются одними из главных загрязнителей атмосферы. Особенно крупные промышленные центры, такие как Уфа. Современная тенденция в науке и технологиях направлены на продвижение мегаполисов в сторону углеродонейтральности. Один из методов – создание таких зеленых насаждений, которые бы наиболее эффективно выполняли функцию декарбонизации городов и при этом на поддержание которых не затрачивались ресурсы. </w:t>
      </w:r>
    </w:p>
    <w:p w14:paraId="11BB0D74">
      <w:pPr>
        <w:spacing w:line="240" w:lineRule="auto"/>
        <w:ind w:firstLine="709"/>
        <w:jc w:val="both"/>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В городах основным травяным покрытием являются газоны. Но исследования показывают, что стандартный городской газон с ежегодным скашиванием обладает практически нулевой углерод-с</w:t>
      </w:r>
      <w:r>
        <w:rPr>
          <w:rFonts w:cs="Times New Roman"/>
          <w:color w:val="000000" w:themeColor="text1"/>
          <w:lang w:val="ru-RU"/>
          <w14:textFill>
            <w14:solidFill>
              <w14:schemeClr w14:val="tx1"/>
            </w14:solidFill>
          </w14:textFill>
        </w:rPr>
        <w:t>вязывающей</w:t>
      </w:r>
      <w:r>
        <w:rPr>
          <w:rFonts w:cs="Times New Roman"/>
          <w:color w:val="000000" w:themeColor="text1"/>
          <w14:textFill>
            <w14:solidFill>
              <w14:schemeClr w14:val="tx1"/>
            </w14:solidFill>
          </w14:textFill>
        </w:rPr>
        <w:t xml:space="preserve"> способностью из-за постоянного удаления биомассы. </w:t>
      </w:r>
    </w:p>
    <w:p w14:paraId="55E6CEE4">
      <w:pPr>
        <w:spacing w:line="240" w:lineRule="auto"/>
        <w:ind w:firstLine="709"/>
        <w:jc w:val="both"/>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Таким образом, на сегодняшний день актуальным являются поиск новых травяных сообществ и методов их создания, которые кроме эстетических и ряда экологических функций, выполняли бы функции декарбонизации городских территорий.</w:t>
      </w:r>
    </w:p>
    <w:p w14:paraId="15D6F0EE">
      <w:pPr>
        <w:spacing w:line="240" w:lineRule="auto"/>
        <w:ind w:firstLine="708"/>
        <w:jc w:val="both"/>
        <w:rPr>
          <w:rFonts w:cs="Times New Roman"/>
          <w:b/>
          <w:bCs/>
        </w:rPr>
      </w:pPr>
      <w:r>
        <w:rPr>
          <w:rFonts w:cs="Times New Roman"/>
        </w:rPr>
        <w:t xml:space="preserve">В Республике Башкортостан на сегодняшний день создан </w:t>
      </w:r>
      <w:r>
        <w:rPr>
          <w:rFonts w:cs="Times New Roman"/>
          <w:bCs/>
        </w:rPr>
        <w:t>Евразийский карбоновый полигон. Он уже имеет 7 участков – в разных природных и антропогенных экосистемах (болота, степи, пашни, лес). Однако в городских экосистемах пока таких участков нет</w:t>
      </w:r>
      <w:r>
        <w:rPr>
          <w:rFonts w:cs="Times New Roman"/>
          <w:b/>
          <w:bCs/>
        </w:rPr>
        <w:t>.</w:t>
      </w:r>
    </w:p>
    <w:p w14:paraId="04EFA010">
      <w:pPr>
        <w:spacing w:line="240" w:lineRule="auto"/>
        <w:ind w:firstLine="708"/>
        <w:jc w:val="both"/>
        <w:rPr>
          <w:rFonts w:cs="Times New Roman"/>
          <w:bCs/>
        </w:rPr>
      </w:pPr>
      <w:r>
        <w:rPr>
          <w:rFonts w:cs="Times New Roman"/>
          <w:b/>
          <w:bCs/>
        </w:rPr>
        <w:t xml:space="preserve">Целью нашего проекта </w:t>
      </w:r>
      <w:r>
        <w:rPr>
          <w:rFonts w:cs="Times New Roman"/>
          <w:bCs/>
        </w:rPr>
        <w:t xml:space="preserve">– создание травяных сообществ в городе как опытных участков городского карбонового полигона (на примере города Уфы). </w:t>
      </w:r>
    </w:p>
    <w:p w14:paraId="39CEA490">
      <w:pPr>
        <w:spacing w:line="240" w:lineRule="auto"/>
        <w:ind w:firstLine="708"/>
        <w:jc w:val="both"/>
        <w:rPr>
          <w:rFonts w:cs="Times New Roman"/>
        </w:rPr>
      </w:pPr>
      <w:r>
        <w:rPr>
          <w:rFonts w:cs="Times New Roman"/>
        </w:rPr>
        <w:t>В работе были поставлены следующие задачи:</w:t>
      </w:r>
    </w:p>
    <w:p w14:paraId="37B8D9D3">
      <w:pPr>
        <w:pStyle w:val="18"/>
        <w:numPr>
          <w:ilvl w:val="0"/>
          <w:numId w:val="2"/>
        </w:numPr>
        <w:spacing w:line="240" w:lineRule="auto"/>
        <w:jc w:val="both"/>
        <w:rPr>
          <w:rFonts w:cs="Times New Roman"/>
        </w:rPr>
      </w:pPr>
      <w:r>
        <w:rPr>
          <w:rFonts w:cs="Times New Roman"/>
        </w:rPr>
        <w:t>Создать устойчивое травяное сообщество с участием разных видов естественных фитоценозов, устойчивых для городских условий.</w:t>
      </w:r>
    </w:p>
    <w:p w14:paraId="6993546B">
      <w:pPr>
        <w:pStyle w:val="18"/>
        <w:numPr>
          <w:ilvl w:val="0"/>
          <w:numId w:val="2"/>
        </w:numPr>
        <w:spacing w:line="240" w:lineRule="auto"/>
        <w:jc w:val="both"/>
        <w:rPr>
          <w:rFonts w:cs="Times New Roman"/>
        </w:rPr>
      </w:pPr>
      <w:r>
        <w:rPr>
          <w:rFonts w:cs="Times New Roman"/>
        </w:rPr>
        <w:t xml:space="preserve">Выполнить анализ динамики видового состава и продуктивности созданных сообществ. </w:t>
      </w:r>
    </w:p>
    <w:p w14:paraId="42A3CBA4">
      <w:pPr>
        <w:pStyle w:val="18"/>
        <w:numPr>
          <w:ilvl w:val="0"/>
          <w:numId w:val="2"/>
        </w:numPr>
        <w:spacing w:line="240" w:lineRule="auto"/>
        <w:jc w:val="both"/>
        <w:rPr>
          <w:rFonts w:cs="Times New Roman"/>
        </w:rPr>
      </w:pPr>
      <w:r>
        <w:rPr>
          <w:rFonts w:cs="Times New Roman"/>
        </w:rPr>
        <w:t xml:space="preserve">Оценить потенциал поглощения углерода созданным сообществом в сравнением с городскими газонами. </w:t>
      </w:r>
    </w:p>
    <w:p w14:paraId="25D5C04E">
      <w:pPr>
        <w:pStyle w:val="18"/>
        <w:numPr>
          <w:ilvl w:val="0"/>
          <w:numId w:val="2"/>
        </w:numPr>
        <w:spacing w:line="240" w:lineRule="auto"/>
        <w:jc w:val="both"/>
        <w:rPr>
          <w:rFonts w:cs="Times New Roman"/>
        </w:rPr>
      </w:pPr>
      <w:r>
        <w:rPr>
          <w:rFonts w:cs="Times New Roman"/>
        </w:rPr>
        <w:t xml:space="preserve">Разработать рекомендации по созданию травяных участков карбонового полигона в городе.   </w:t>
      </w:r>
    </w:p>
    <w:p w14:paraId="1A106F2A">
      <w:pPr>
        <w:pStyle w:val="18"/>
        <w:spacing w:line="240" w:lineRule="auto"/>
        <w:jc w:val="center"/>
        <w:rPr>
          <w:rFonts w:cs="Times New Roman"/>
          <w:b/>
        </w:rPr>
      </w:pPr>
      <w:r>
        <w:rPr>
          <w:rFonts w:cs="Times New Roman"/>
          <w:b/>
        </w:rPr>
        <w:t>Глава 1. Что такое карбоновый полигон?</w:t>
      </w:r>
    </w:p>
    <w:p w14:paraId="7DA58E08">
      <w:pPr>
        <w:pStyle w:val="18"/>
        <w:numPr>
          <w:ilvl w:val="1"/>
          <w:numId w:val="3"/>
        </w:numPr>
        <w:spacing w:line="240" w:lineRule="auto"/>
        <w:rPr>
          <w:rFonts w:cs="Times New Roman"/>
          <w:b/>
        </w:rPr>
      </w:pPr>
      <w:r>
        <w:rPr>
          <w:rFonts w:cs="Times New Roman"/>
          <w:b/>
        </w:rPr>
        <w:t>Карбоновые полигоны в городе</w:t>
      </w:r>
    </w:p>
    <w:p w14:paraId="03B824BB">
      <w:pPr>
        <w:spacing w:line="240" w:lineRule="auto"/>
        <w:ind w:firstLine="708"/>
        <w:jc w:val="both"/>
        <w:rPr>
          <w:rFonts w:cs="Times New Roman"/>
        </w:rPr>
      </w:pPr>
      <w:r>
        <w:rPr>
          <w:rFonts w:cs="Times New Roman"/>
          <w:b/>
        </w:rPr>
        <w:t>Карбоновые полигоны</w:t>
      </w:r>
      <w:r>
        <w:rPr>
          <w:rFonts w:cs="Times New Roman"/>
        </w:rPr>
        <w:t xml:space="preserve"> – Карбоновые полигоны – это территории с уникальной экосистемой, созданные для реализации мер контроля климатических активных газов с участием университетов и научных организаций. На этих территориях разрабатывают и испытывают технологии дистанционного и наземного контроля эмиссии парниковых газов и других значимых для изменения климата параметров.  О</w:t>
      </w:r>
      <w:r>
        <w:t>бщее количество карбоновых полигонов в мире неизвестно. В РФ н</w:t>
      </w:r>
      <w:r>
        <w:rPr>
          <w:rFonts w:cs="Times New Roman"/>
        </w:rPr>
        <w:t xml:space="preserve">а сегодняшний день количество действующих полигонов – 19. Их общая площадь составляет 312`939,53 Га. </w:t>
      </w:r>
      <w:r>
        <w:t>Они охватывают разные экосистемы – леса, болота, степи, водоемы, сельскохозяйственные угодья. Но пока в городе нет ни одного полигона</w:t>
      </w:r>
      <w:r>
        <w:rPr>
          <w:rFonts w:cs="Times New Roman"/>
        </w:rPr>
        <w:t xml:space="preserve"> (</w:t>
      </w:r>
      <w:r>
        <w:rPr>
          <w:rFonts w:cs="Times New Roman"/>
          <w:lang w:val="en-US"/>
        </w:rPr>
        <w:t>www</w:t>
      </w:r>
      <w:r>
        <w:rPr>
          <w:rFonts w:cs="Times New Roman"/>
        </w:rPr>
        <w:t>.</w:t>
      </w:r>
      <w:r>
        <w:t xml:space="preserve"> </w:t>
      </w:r>
      <w:r>
        <w:rPr>
          <w:rFonts w:cs="Times New Roman"/>
        </w:rPr>
        <w:t>https://carbon-polygons.ru).</w:t>
      </w:r>
    </w:p>
    <w:p w14:paraId="4222DCB9">
      <w:pPr>
        <w:spacing w:line="240" w:lineRule="auto"/>
        <w:ind w:firstLine="708"/>
        <w:jc w:val="both"/>
      </w:pPr>
      <w:r>
        <w:rPr>
          <w:rFonts w:cs="Times New Roman"/>
        </w:rPr>
        <w:t>В то же время урбанизация достигла такого уровня, что б</w:t>
      </w:r>
      <w:r>
        <w:t>ольшая часть населения планеты, а также выбросов CO2 приходится на городские экосистемы. Процесс урбанизации меняет запасы и потоки углерода на суше, что, в свою очередь, влияет на функции экосистем и концентрацию CO2 в атмосфере. </w:t>
      </w:r>
    </w:p>
    <w:p w14:paraId="3C99DF76">
      <w:pPr>
        <w:spacing w:line="240" w:lineRule="auto"/>
        <w:ind w:firstLine="708"/>
        <w:jc w:val="both"/>
      </w:pPr>
      <w:r>
        <w:t>Депонирование углерода городами — это процесс поглощения и хранения углекислого газа в городской среде, который достигается за счет озеленения (парки, деревья), а также внедрения технологий улавливания и хранения углерода. Города могут использовать как природные, так и технологические подходы для снижения концентрации (CO2), сокращая тем самым свой углеродный след и борясь с изменением климата. </w:t>
      </w:r>
    </w:p>
    <w:p w14:paraId="2093A79A">
      <w:pPr>
        <w:spacing w:line="240" w:lineRule="auto"/>
        <w:ind w:firstLine="708"/>
        <w:jc w:val="both"/>
      </w:pPr>
      <w:r>
        <w:t>Зарубежными учеными проведено много исследований по потокам газов в городах. Так американскими учеными на примере городов штата Вашингтон, исследовались взаимосвязь между запасами углерода в почве и растительным покровом в городе (</w:t>
      </w:r>
      <w:r>
        <w:rPr>
          <w:lang w:val="en-US"/>
        </w:rPr>
        <w:t>H</w:t>
      </w:r>
      <w:r>
        <w:t xml:space="preserve">utyra </w:t>
      </w:r>
      <w:r>
        <w:rPr>
          <w:lang w:val="en-US"/>
        </w:rPr>
        <w:t>et</w:t>
      </w:r>
      <w:r>
        <w:t xml:space="preserve"> </w:t>
      </w:r>
      <w:r>
        <w:rPr>
          <w:lang w:val="en-US"/>
        </w:rPr>
        <w:t>al</w:t>
      </w:r>
      <w:r>
        <w:t xml:space="preserve">., 2011). Они показали, что общие запасы углерода в крупных городах значительно превышали показатели запасов углерода в лесах США. Поскольку площадь городских земель и численность населения продолжают стремительно расти по всему миру, эти результаты подчёркивают важность учёта растительности в городах в рамках наземного углеродного цикла. </w:t>
      </w:r>
    </w:p>
    <w:p w14:paraId="376EF689">
      <w:pPr>
        <w:spacing w:line="240" w:lineRule="auto"/>
        <w:ind w:firstLine="708"/>
        <w:jc w:val="both"/>
        <w:rPr>
          <w:rFonts w:cs="Times New Roman"/>
        </w:rPr>
      </w:pPr>
      <w:r>
        <w:rPr>
          <w:rFonts w:cs="Times New Roman"/>
        </w:rPr>
        <w:t>Также ученые количественно оценили вклад городских экосистем в наземные запасы углерода в городах. Они показали, что содержание углерода в почве (от 0 до 10 см) уменьшалось от городских лесов к жилым районам и другим освоенным территориям (4,1 ± 0,1, 4.0 ± 0,2 и 3,3 ± 0,2 кг C/м2 соответственно) (</w:t>
      </w:r>
      <w:r>
        <w:rPr>
          <w:rFonts w:cs="Times New Roman"/>
          <w:lang w:val="en-US"/>
        </w:rPr>
        <w:t>Raciti</w:t>
      </w:r>
      <w:r>
        <w:rPr>
          <w:rFonts w:cs="Times New Roman"/>
        </w:rPr>
        <w:t xml:space="preserve"> </w:t>
      </w:r>
      <w:r>
        <w:rPr>
          <w:rFonts w:cs="Times New Roman"/>
          <w:lang w:val="en-US"/>
        </w:rPr>
        <w:t>et</w:t>
      </w:r>
      <w:r>
        <w:rPr>
          <w:rFonts w:cs="Times New Roman"/>
        </w:rPr>
        <w:t xml:space="preserve"> </w:t>
      </w:r>
      <w:r>
        <w:rPr>
          <w:rFonts w:cs="Times New Roman"/>
          <w:lang w:val="en-US"/>
        </w:rPr>
        <w:t>al</w:t>
      </w:r>
      <w:r>
        <w:rPr>
          <w:rFonts w:cs="Times New Roman"/>
        </w:rPr>
        <w:t>., 2012).</w:t>
      </w:r>
    </w:p>
    <w:p w14:paraId="3F800836">
      <w:pPr>
        <w:spacing w:line="240" w:lineRule="auto"/>
        <w:ind w:firstLine="708"/>
        <w:jc w:val="both"/>
      </w:pPr>
      <w:r>
        <w:t>Принято считать, что урбанизация приводит к ухудшению экосистемных услуг, но современные исследования опровергают это предположение. Английские исследователи просчитали содержание углерода в растительности и почвах в городах, в том числе под непроницаемыми поверхностями. Они показали, что содержание органического углерода в городских почвах было значительно выше, чем в сельскохозяйственных угодьях региона на той же глубине.  Большая часть углерода (82%) содержалась в почве, при этом 13% было обнаружено под непроницаемыми поверхностями, а 18% - в растительности. Главный вывод из этого исследования - что в мире серьёзно занижается вклад городских территорий в депонирование углерода</w:t>
      </w:r>
      <w:r>
        <w:rPr>
          <w:b/>
        </w:rPr>
        <w:t xml:space="preserve"> </w:t>
      </w:r>
      <w:r>
        <w:t>(</w:t>
      </w:r>
      <w:r>
        <w:rPr>
          <w:lang w:val="en-US"/>
        </w:rPr>
        <w:t>Edmondson</w:t>
      </w:r>
      <w:r>
        <w:t xml:space="preserve"> </w:t>
      </w:r>
      <w:r>
        <w:rPr>
          <w:lang w:val="en-US"/>
        </w:rPr>
        <w:t>et</w:t>
      </w:r>
      <w:r>
        <w:t xml:space="preserve"> </w:t>
      </w:r>
      <w:r>
        <w:rPr>
          <w:lang w:val="en-US"/>
        </w:rPr>
        <w:t>al</w:t>
      </w:r>
      <w:r>
        <w:t>., 2012).</w:t>
      </w:r>
    </w:p>
    <w:p w14:paraId="7F07943B">
      <w:pPr>
        <w:spacing w:line="240" w:lineRule="auto"/>
        <w:ind w:firstLine="708"/>
        <w:jc w:val="both"/>
      </w:pPr>
      <w:r>
        <w:t xml:space="preserve">Функция почвы по «улавливанию углерода» очень актуальна для искусственной городской среды и её следует учитывать при планировании новых или существующих объектов в городах. Общий потенциал улавливания углерода почвами в городах Европы может достигать 7 млн тонн в год. Кроме того, для накопления органического углерода растительного происхождения в городских почвах можно применять методы управления почвой и растительностью. Потенциал значительного улавливания углерода растительностью и почвами в городской среде надо реализовать в ближайшее время (Renforth et al., 2011). </w:t>
      </w:r>
    </w:p>
    <w:p w14:paraId="7BFF9DA3">
      <w:pPr>
        <w:spacing w:line="240" w:lineRule="auto"/>
        <w:ind w:firstLine="708"/>
        <w:jc w:val="both"/>
      </w:pPr>
      <w:r>
        <w:t xml:space="preserve">В РФ также изучается поглощение углерода городскими экосистемами, но в основном рассматриваются городские леса (Шевелина и др., 2025).  </w:t>
      </w:r>
    </w:p>
    <w:p w14:paraId="6A3BBBEE">
      <w:pPr>
        <w:pStyle w:val="14"/>
        <w:shd w:val="clear" w:color="auto" w:fill="FFFFFF"/>
        <w:spacing w:before="0" w:beforeAutospacing="0" w:after="0" w:afterAutospacing="0" w:line="240" w:lineRule="auto"/>
        <w:ind w:firstLine="709"/>
        <w:jc w:val="both"/>
        <w:rPr>
          <w:sz w:val="28"/>
          <w:szCs w:val="28"/>
        </w:rPr>
      </w:pPr>
      <w:r>
        <w:rPr>
          <w:color w:val="2C2D2E"/>
          <w:sz w:val="28"/>
          <w:szCs w:val="28"/>
        </w:rPr>
        <w:t>Во всем мире сейчас активно развивается направление по природно-климатическим решениям (англ. Nature-based climate solutions), т.е. управления экосистемами путем вмешательства человека в природные процессы, которое приводит к измеримым эффектам в области смягчения последствий климатических изменений и адаптации к ним. Поэтому управление и создание адаптированных городских зеленых насаждений выполняющие целый ряд экосистемных услуг, в том числе депонирование углерода, является перс</w:t>
      </w:r>
      <w:r>
        <w:rPr>
          <w:sz w:val="28"/>
          <w:szCs w:val="28"/>
        </w:rPr>
        <w:t xml:space="preserve">пективной задачей  общества и науки. </w:t>
      </w:r>
    </w:p>
    <w:p w14:paraId="66D09EEC">
      <w:pPr>
        <w:pStyle w:val="14"/>
        <w:shd w:val="clear" w:color="auto" w:fill="FFFFFF"/>
        <w:spacing w:before="0" w:beforeAutospacing="0" w:after="0" w:afterAutospacing="0" w:line="360" w:lineRule="auto"/>
        <w:ind w:firstLine="709"/>
        <w:jc w:val="both"/>
        <w:rPr>
          <w:sz w:val="28"/>
          <w:szCs w:val="28"/>
        </w:rPr>
      </w:pPr>
      <w:r>
        <w:rPr>
          <w:color w:val="2C2D2E"/>
          <w:sz w:val="28"/>
          <w:szCs w:val="28"/>
        </w:rPr>
        <w:br w:type="textWrapping"/>
      </w:r>
      <w:r>
        <w:rPr>
          <w:color w:val="2C2D2E"/>
          <w:sz w:val="28"/>
          <w:szCs w:val="28"/>
        </w:rPr>
        <w:br w:type="textWrapping"/>
      </w:r>
    </w:p>
    <w:p w14:paraId="5F2EDF43">
      <w:pPr>
        <w:spacing w:line="240" w:lineRule="auto"/>
        <w:jc w:val="center"/>
        <w:rPr>
          <w:rFonts w:cs="Times New Roman"/>
        </w:rPr>
      </w:pPr>
    </w:p>
    <w:p w14:paraId="0A069E54">
      <w:pPr>
        <w:spacing w:line="240" w:lineRule="auto"/>
        <w:jc w:val="center"/>
        <w:rPr>
          <w:rFonts w:cs="Times New Roman"/>
          <w:b/>
        </w:rPr>
      </w:pPr>
    </w:p>
    <w:p w14:paraId="01FA98DB">
      <w:pPr>
        <w:spacing w:line="240" w:lineRule="auto"/>
        <w:jc w:val="center"/>
        <w:rPr>
          <w:rFonts w:cs="Times New Roman"/>
          <w:b/>
        </w:rPr>
      </w:pPr>
    </w:p>
    <w:p w14:paraId="5F9D1998">
      <w:pPr>
        <w:spacing w:line="240" w:lineRule="auto"/>
        <w:jc w:val="center"/>
        <w:rPr>
          <w:rFonts w:cs="Times New Roman"/>
          <w:b/>
        </w:rPr>
      </w:pPr>
    </w:p>
    <w:p w14:paraId="49A58449">
      <w:pPr>
        <w:spacing w:line="240" w:lineRule="auto"/>
        <w:jc w:val="center"/>
        <w:rPr>
          <w:rFonts w:cs="Times New Roman"/>
          <w:b/>
        </w:rPr>
      </w:pPr>
    </w:p>
    <w:p w14:paraId="4BD52BE8">
      <w:pPr>
        <w:spacing w:line="240" w:lineRule="auto"/>
        <w:jc w:val="center"/>
        <w:rPr>
          <w:rFonts w:cs="Times New Roman"/>
          <w:b/>
        </w:rPr>
      </w:pPr>
    </w:p>
    <w:p w14:paraId="1187B036">
      <w:pPr>
        <w:spacing w:line="240" w:lineRule="auto"/>
        <w:jc w:val="center"/>
        <w:rPr>
          <w:rFonts w:cs="Times New Roman"/>
          <w:b/>
        </w:rPr>
      </w:pPr>
    </w:p>
    <w:p w14:paraId="23B31224">
      <w:pPr>
        <w:spacing w:line="240" w:lineRule="auto"/>
        <w:jc w:val="center"/>
        <w:rPr>
          <w:rFonts w:cs="Times New Roman"/>
          <w:b/>
        </w:rPr>
      </w:pPr>
    </w:p>
    <w:p w14:paraId="1E4463F0">
      <w:pPr>
        <w:spacing w:line="240" w:lineRule="auto"/>
        <w:jc w:val="center"/>
        <w:rPr>
          <w:rFonts w:cs="Times New Roman"/>
          <w:b/>
        </w:rPr>
      </w:pPr>
    </w:p>
    <w:p w14:paraId="522EAE31">
      <w:pPr>
        <w:spacing w:line="240" w:lineRule="auto"/>
        <w:jc w:val="center"/>
        <w:rPr>
          <w:rFonts w:cs="Times New Roman"/>
          <w:b/>
        </w:rPr>
      </w:pPr>
    </w:p>
    <w:p w14:paraId="6AE6191D">
      <w:pPr>
        <w:spacing w:line="240" w:lineRule="auto"/>
        <w:jc w:val="center"/>
        <w:rPr>
          <w:rFonts w:cs="Times New Roman"/>
          <w:b/>
        </w:rPr>
      </w:pPr>
    </w:p>
    <w:p w14:paraId="09E2E03A">
      <w:pPr>
        <w:spacing w:line="240" w:lineRule="auto"/>
        <w:jc w:val="center"/>
        <w:rPr>
          <w:rFonts w:cs="Times New Roman"/>
          <w:b/>
        </w:rPr>
      </w:pPr>
    </w:p>
    <w:p w14:paraId="00CA6509">
      <w:pPr>
        <w:spacing w:line="240" w:lineRule="auto"/>
        <w:jc w:val="center"/>
        <w:rPr>
          <w:rFonts w:cs="Times New Roman"/>
          <w:b/>
        </w:rPr>
      </w:pPr>
    </w:p>
    <w:p w14:paraId="109FA37B">
      <w:pPr>
        <w:spacing w:line="240" w:lineRule="auto"/>
        <w:jc w:val="center"/>
        <w:rPr>
          <w:rFonts w:cs="Times New Roman"/>
          <w:b/>
        </w:rPr>
      </w:pPr>
    </w:p>
    <w:p w14:paraId="4257551A">
      <w:pPr>
        <w:spacing w:line="240" w:lineRule="auto"/>
        <w:jc w:val="center"/>
        <w:rPr>
          <w:rFonts w:cs="Times New Roman"/>
          <w:b/>
        </w:rPr>
      </w:pPr>
    </w:p>
    <w:p w14:paraId="2447BBBB">
      <w:pPr>
        <w:spacing w:line="240" w:lineRule="auto"/>
        <w:jc w:val="center"/>
        <w:rPr>
          <w:rFonts w:cs="Times New Roman"/>
          <w:b/>
        </w:rPr>
      </w:pPr>
    </w:p>
    <w:p w14:paraId="6C6B2C87">
      <w:pPr>
        <w:spacing w:line="240" w:lineRule="auto"/>
        <w:jc w:val="center"/>
        <w:rPr>
          <w:rFonts w:cs="Times New Roman"/>
          <w:b/>
        </w:rPr>
      </w:pPr>
    </w:p>
    <w:p w14:paraId="00C97E02">
      <w:pPr>
        <w:spacing w:line="240" w:lineRule="auto"/>
        <w:jc w:val="center"/>
        <w:rPr>
          <w:rFonts w:cs="Times New Roman"/>
          <w:b/>
        </w:rPr>
      </w:pPr>
    </w:p>
    <w:p w14:paraId="6B2DC4C1">
      <w:pPr>
        <w:spacing w:line="240" w:lineRule="auto"/>
        <w:jc w:val="center"/>
        <w:rPr>
          <w:rFonts w:cs="Times New Roman"/>
          <w:b/>
        </w:rPr>
      </w:pPr>
    </w:p>
    <w:p w14:paraId="06159C0A">
      <w:pPr>
        <w:spacing w:line="240" w:lineRule="auto"/>
        <w:jc w:val="center"/>
        <w:rPr>
          <w:rFonts w:cs="Times New Roman"/>
          <w:b/>
        </w:rPr>
      </w:pPr>
      <w:r>
        <w:rPr>
          <w:rFonts w:cs="Times New Roman"/>
          <w:b/>
        </w:rPr>
        <w:t>1.2. Развитие карбоновых полигонов на Южном Урале</w:t>
      </w:r>
    </w:p>
    <w:p w14:paraId="0C910A73">
      <w:pPr>
        <w:pStyle w:val="18"/>
        <w:spacing w:line="240" w:lineRule="auto"/>
        <w:jc w:val="center"/>
        <w:rPr>
          <w:rFonts w:cs="Times New Roman"/>
        </w:rPr>
      </w:pPr>
    </w:p>
    <w:p w14:paraId="6494853B">
      <w:pPr>
        <w:pStyle w:val="18"/>
        <w:spacing w:line="240" w:lineRule="auto"/>
        <w:ind w:left="0" w:firstLine="708"/>
        <w:jc w:val="both"/>
        <w:rPr>
          <w:rFonts w:cs="Times New Roman"/>
        </w:rPr>
      </w:pPr>
      <w:r>
        <w:rPr>
          <w:rFonts w:cs="Times New Roman"/>
        </w:rPr>
        <w:t>Евразийский карбоновый полигон был создан в 2021 году. На сегодняшний день уже создано 7 участков (рис.1) которые охватывают следующие экосистемы (Белан и др., 2023):</w:t>
      </w:r>
    </w:p>
    <w:p w14:paraId="66C8BEFC">
      <w:pPr>
        <w:pStyle w:val="18"/>
        <w:numPr>
          <w:ilvl w:val="0"/>
          <w:numId w:val="4"/>
        </w:numPr>
        <w:spacing w:line="240" w:lineRule="auto"/>
        <w:jc w:val="both"/>
        <w:rPr>
          <w:rFonts w:cs="Times New Roman"/>
        </w:rPr>
      </w:pPr>
      <w:r>
        <w:rPr>
          <w:rFonts w:cs="Times New Roman"/>
        </w:rPr>
        <w:t>Разнотравно-ковыльная степь – Давлекановский район РБ</w:t>
      </w:r>
    </w:p>
    <w:p w14:paraId="6C65B900">
      <w:pPr>
        <w:pStyle w:val="18"/>
        <w:numPr>
          <w:ilvl w:val="0"/>
          <w:numId w:val="4"/>
        </w:numPr>
        <w:spacing w:line="240" w:lineRule="auto"/>
        <w:jc w:val="both"/>
        <w:rPr>
          <w:rFonts w:cs="Times New Roman"/>
        </w:rPr>
      </w:pPr>
      <w:r>
        <w:rPr>
          <w:rFonts w:cs="Times New Roman"/>
        </w:rPr>
        <w:t>Болото - Давлекановский район РБ</w:t>
      </w:r>
    </w:p>
    <w:p w14:paraId="72A9D1F9">
      <w:pPr>
        <w:pStyle w:val="18"/>
        <w:numPr>
          <w:ilvl w:val="0"/>
          <w:numId w:val="4"/>
        </w:numPr>
        <w:spacing w:line="240" w:lineRule="auto"/>
        <w:jc w:val="both"/>
        <w:rPr>
          <w:rFonts w:cs="Times New Roman"/>
        </w:rPr>
      </w:pPr>
      <w:r>
        <w:rPr>
          <w:rFonts w:cs="Times New Roman"/>
        </w:rPr>
        <w:t>Пашня – Уфимский район РБ</w:t>
      </w:r>
    </w:p>
    <w:p w14:paraId="69C58868">
      <w:pPr>
        <w:pStyle w:val="18"/>
        <w:numPr>
          <w:ilvl w:val="0"/>
          <w:numId w:val="4"/>
        </w:numPr>
        <w:spacing w:line="240" w:lineRule="auto"/>
        <w:jc w:val="both"/>
        <w:rPr>
          <w:rFonts w:cs="Times New Roman"/>
        </w:rPr>
      </w:pPr>
      <w:r>
        <w:rPr>
          <w:rFonts w:cs="Times New Roman"/>
        </w:rPr>
        <w:t>Широколиственный лес - Уфимский район РБ</w:t>
      </w:r>
    </w:p>
    <w:p w14:paraId="59D9A3C2">
      <w:pPr>
        <w:pStyle w:val="18"/>
        <w:numPr>
          <w:ilvl w:val="0"/>
          <w:numId w:val="4"/>
        </w:numPr>
        <w:spacing w:line="240" w:lineRule="auto"/>
        <w:jc w:val="both"/>
        <w:rPr>
          <w:rFonts w:cs="Times New Roman"/>
        </w:rPr>
      </w:pPr>
      <w:r>
        <w:rPr>
          <w:rFonts w:cs="Times New Roman"/>
        </w:rPr>
        <w:t>Зарастающая залежь – Мишкинский район РБ</w:t>
      </w:r>
    </w:p>
    <w:p w14:paraId="4394DD68">
      <w:pPr>
        <w:pStyle w:val="18"/>
        <w:numPr>
          <w:ilvl w:val="0"/>
          <w:numId w:val="4"/>
        </w:numPr>
        <w:spacing w:line="240" w:lineRule="auto"/>
        <w:jc w:val="both"/>
        <w:rPr>
          <w:rFonts w:cs="Times New Roman"/>
        </w:rPr>
      </w:pPr>
      <w:r>
        <w:rPr>
          <w:rFonts w:cs="Times New Roman"/>
        </w:rPr>
        <w:t>Комплекс лесных и луговых сообщества  - Салаватский район РБ</w:t>
      </w:r>
    </w:p>
    <w:p w14:paraId="6A1AD80D">
      <w:pPr>
        <w:pStyle w:val="18"/>
        <w:numPr>
          <w:ilvl w:val="0"/>
          <w:numId w:val="4"/>
        </w:numPr>
        <w:spacing w:line="240" w:lineRule="auto"/>
        <w:jc w:val="both"/>
        <w:rPr>
          <w:rFonts w:cs="Times New Roman"/>
        </w:rPr>
      </w:pPr>
      <w:r>
        <w:rPr>
          <w:rFonts w:cs="Times New Roman"/>
        </w:rPr>
        <w:t>Водные, прибрежные экосистемы в долине р. Уфа– Нуримановский район РБ</w:t>
      </w:r>
    </w:p>
    <w:p w14:paraId="0C81D3CB">
      <w:pPr>
        <w:spacing w:line="240" w:lineRule="auto"/>
        <w:jc w:val="both"/>
        <w:rPr>
          <w:rFonts w:cs="Times New Roman"/>
          <w:b/>
        </w:rPr>
      </w:pPr>
      <w:r>
        <w:rPr>
          <w:rFonts w:cs="Times New Roman"/>
          <w:b/>
        </w:rPr>
        <w:t xml:space="preserve">Таким образом, на Южном Урале пока нет ни одного карбонового полигона в городе. </w:t>
      </w:r>
    </w:p>
    <w:p w14:paraId="5CC64C3C">
      <w:pPr>
        <w:pStyle w:val="18"/>
        <w:ind w:left="0"/>
        <w:jc w:val="both"/>
        <w:rPr>
          <w:rFonts w:cs="Times New Roman"/>
        </w:rPr>
      </w:pPr>
      <w:r>
        <w:rPr>
          <w:rFonts w:cs="Times New Roman"/>
          <w:lang w:eastAsia="ru-RU"/>
        </w:rPr>
        <w:drawing>
          <wp:inline distT="0" distB="0" distL="0" distR="0">
            <wp:extent cx="6119495" cy="35528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pic:cNvPicPr>
                  </pic:nvPicPr>
                  <pic:blipFill>
                    <a:blip r:embed="rId7"/>
                    <a:stretch>
                      <a:fillRect/>
                    </a:stretch>
                  </pic:blipFill>
                  <pic:spPr>
                    <a:xfrm>
                      <a:off x="0" y="0"/>
                      <a:ext cx="6119495" cy="3552825"/>
                    </a:xfrm>
                    <a:prstGeom prst="rect">
                      <a:avLst/>
                    </a:prstGeom>
                  </pic:spPr>
                </pic:pic>
              </a:graphicData>
            </a:graphic>
          </wp:inline>
        </w:drawing>
      </w:r>
    </w:p>
    <w:p w14:paraId="1D954B10">
      <w:pPr>
        <w:pStyle w:val="18"/>
        <w:spacing w:line="240" w:lineRule="auto"/>
        <w:jc w:val="center"/>
        <w:rPr>
          <w:rFonts w:cs="Times New Roman"/>
        </w:rPr>
      </w:pPr>
      <w:r>
        <w:rPr>
          <w:rFonts w:cs="Times New Roman"/>
        </w:rPr>
        <w:t>Рис.1. Расположения участков Евразийского карбонового полигона в Республике Башкортостан</w:t>
      </w:r>
    </w:p>
    <w:p w14:paraId="338CF1F5">
      <w:pPr>
        <w:pStyle w:val="12"/>
        <w:spacing w:line="240" w:lineRule="auto"/>
      </w:pPr>
      <w:r>
        <w:t>Глава 2. Природные условия территории исследования</w:t>
      </w:r>
    </w:p>
    <w:p w14:paraId="6496925D">
      <w:pPr>
        <w:pStyle w:val="15"/>
        <w:spacing w:after="0" w:line="240" w:lineRule="auto"/>
        <w:ind w:left="0" w:right="141" w:firstLine="708"/>
        <w:jc w:val="both"/>
      </w:pPr>
      <w:r>
        <w:t>В соответствии с геоботаническим районированием территория Уфы относится к Кушнаренковско-Уфимскому району широколиственных лесов, типчаковых степей и пойменных лесов, остепненных, степевидных и солончаковатых лугов округа долины реки Белой (Жудова, 1966). По ботанико-географическому районированию (Мулдашев и др., 2004), территория Уфы относится к Предбельскому лесостепному району Башкирского Предуралья. Значительная удаленность города Уфы от океанов и его поло</w:t>
      </w:r>
      <w:r>
        <w:softHyphen/>
      </w:r>
      <w:r>
        <w:t xml:space="preserve">жение на самом востоке Европы обусловливают континентальность климата на его территории и в зеленой зоне. </w:t>
      </w:r>
      <w:r>
        <w:rPr>
          <w:snapToGrid w:val="0"/>
        </w:rPr>
        <w:t xml:space="preserve">Климат характеризуется влажным теплым летом и умеренно-суровой снежной зимой </w:t>
      </w:r>
      <w:r>
        <w:t>(Кадильников, 1970).</w:t>
      </w:r>
    </w:p>
    <w:p w14:paraId="70BB1B5C">
      <w:pPr>
        <w:pStyle w:val="11"/>
        <w:spacing w:after="0" w:line="240" w:lineRule="auto"/>
        <w:ind w:left="0" w:right="140" w:firstLine="708"/>
        <w:jc w:val="both"/>
        <w:rPr>
          <w:snapToGrid w:val="0"/>
        </w:rPr>
      </w:pPr>
      <w:r>
        <w:rPr>
          <w:snapToGrid w:val="0"/>
        </w:rPr>
        <w:t>Среднегодовое количество осадков составляет для г. Уфы составляет 419 мм. С ноября по март выпадает 119 мм, т.е. 28 % годовой суммы осадков, а с апреля по ок</w:t>
      </w:r>
      <w:r>
        <w:rPr>
          <w:snapToGrid w:val="0"/>
        </w:rPr>
        <w:softHyphen/>
      </w:r>
      <w:r>
        <w:rPr>
          <w:snapToGrid w:val="0"/>
        </w:rPr>
        <w:t>тябрь – 300 мм,</w:t>
      </w:r>
      <w:r>
        <w:rPr>
          <w:i/>
          <w:snapToGrid w:val="0"/>
        </w:rPr>
        <w:t xml:space="preserve"> </w:t>
      </w:r>
      <w:r>
        <w:rPr>
          <w:snapToGrid w:val="0"/>
        </w:rPr>
        <w:t xml:space="preserve">т. е. 72 % годовой суммы (Климат Уфы, 1987).  </w:t>
      </w:r>
    </w:p>
    <w:p w14:paraId="0337427A">
      <w:pPr>
        <w:pStyle w:val="11"/>
        <w:spacing w:after="0" w:line="240" w:lineRule="auto"/>
        <w:ind w:left="0" w:right="140"/>
        <w:jc w:val="both"/>
        <w:rPr>
          <w:snapToGrid w:val="0"/>
        </w:rPr>
      </w:pPr>
      <w:r>
        <w:rPr>
          <w:snapToGrid w:val="0"/>
        </w:rPr>
        <w:t>Среднегодовая температура воздуха составляет 2,5°С. Самая низкая сред</w:t>
      </w:r>
      <w:r>
        <w:rPr>
          <w:snapToGrid w:val="0"/>
        </w:rPr>
        <w:softHyphen/>
      </w:r>
      <w:r>
        <w:rPr>
          <w:snapToGrid w:val="0"/>
        </w:rPr>
        <w:t>немесячная температура - 14,6°С приходится на ян</w:t>
      </w:r>
      <w:r>
        <w:rPr>
          <w:snapToGrid w:val="0"/>
        </w:rPr>
        <w:softHyphen/>
      </w:r>
      <w:r>
        <w:rPr>
          <w:snapToGrid w:val="0"/>
        </w:rPr>
        <w:t>варь. Абсолютный минимум составляет - 44°С. Средняя температура июля равна 19°С, а абсолютный максимум достигает +39°С. Средняя продолжительность безморозного периода составляет 137 дней, но в отдельные годы она может колебаться от 98 до 176 дней. Устойчивый снежный покров образуется в среднем 10 ноября. Сроки появления первого снежного покрова колеблются от 14 сентября до 19 ноября.</w:t>
      </w:r>
    </w:p>
    <w:p w14:paraId="08CA4524">
      <w:pPr>
        <w:spacing w:line="240" w:lineRule="auto"/>
        <w:ind w:right="141" w:firstLine="708"/>
        <w:jc w:val="both"/>
      </w:pPr>
      <w:r>
        <w:rPr>
          <w:snapToGrid w:val="0"/>
          <w:color w:val="000000"/>
        </w:rPr>
        <w:t xml:space="preserve">Для территории г. Уфы в прошлом было характерно господство широколиственных лесов и луговых степей. </w:t>
      </w:r>
      <w:r>
        <w:t>Сегодня природные комплексы в пределах г. Уфы испытывают все возрастающий антропогенный пресс - рекреация, сбор и заготовка лекарственных, пищевых и красивоцветущих растений. Сильная фрагментация природных комплексов, постепенное обеднение биоразнообразия, трансформация растительности приводят к нарушению их устойчивости, а значит, понижению их защитных и рекреационных свойств (Мулдашев и др., 2004).</w:t>
      </w:r>
    </w:p>
    <w:p w14:paraId="5FA45B9C">
      <w:pPr>
        <w:spacing w:line="240" w:lineRule="auto"/>
        <w:jc w:val="center"/>
        <w:rPr>
          <w:rFonts w:cs="Times New Roman"/>
          <w:b/>
        </w:rPr>
      </w:pPr>
      <w:r>
        <w:rPr>
          <w:rFonts w:cs="Times New Roman"/>
          <w:b/>
        </w:rPr>
        <w:t>Глава 3.  Материал и методы исследования</w:t>
      </w:r>
    </w:p>
    <w:p w14:paraId="0BC02E88">
      <w:pPr>
        <w:spacing w:line="240" w:lineRule="auto"/>
        <w:ind w:firstLine="708"/>
        <w:jc w:val="both"/>
        <w:rPr>
          <w:rFonts w:cs="Times New Roman"/>
        </w:rPr>
      </w:pPr>
    </w:p>
    <w:p w14:paraId="684D83A6">
      <w:pPr>
        <w:spacing w:line="240" w:lineRule="auto"/>
        <w:ind w:firstLine="708"/>
        <w:jc w:val="both"/>
        <w:rPr>
          <w:rFonts w:cs="Times New Roman"/>
          <w:bCs/>
        </w:rPr>
      </w:pPr>
      <w:r>
        <w:rPr>
          <w:rFonts w:cs="Times New Roman"/>
          <w:bCs/>
        </w:rPr>
        <w:t xml:space="preserve">Проект мы разбили на два этапа. </w:t>
      </w:r>
    </w:p>
    <w:p w14:paraId="0D884631">
      <w:pPr>
        <w:pStyle w:val="18"/>
        <w:numPr>
          <w:ilvl w:val="0"/>
          <w:numId w:val="5"/>
        </w:numPr>
        <w:spacing w:line="240" w:lineRule="auto"/>
        <w:ind w:left="284"/>
        <w:jc w:val="both"/>
        <w:rPr>
          <w:rFonts w:cs="Times New Roman"/>
          <w:b/>
          <w:bCs/>
        </w:rPr>
      </w:pPr>
      <w:r>
        <w:rPr>
          <w:rFonts w:cs="Times New Roman"/>
          <w:bCs/>
        </w:rPr>
        <w:t>Этап 2023-2024 года - создание травяного растительного сообщества в городе Уфе. Проведение исследований по изменению флористического состава и продуктивности сообщества.</w:t>
      </w:r>
    </w:p>
    <w:p w14:paraId="106CEBBB">
      <w:pPr>
        <w:pStyle w:val="18"/>
        <w:numPr>
          <w:ilvl w:val="0"/>
          <w:numId w:val="5"/>
        </w:numPr>
        <w:spacing w:line="240" w:lineRule="auto"/>
        <w:ind w:left="284"/>
        <w:jc w:val="both"/>
        <w:rPr>
          <w:rFonts w:cs="Times New Roman"/>
          <w:b/>
          <w:bCs/>
        </w:rPr>
      </w:pPr>
      <w:r>
        <w:rPr>
          <w:rFonts w:cs="Times New Roman"/>
          <w:bCs/>
        </w:rPr>
        <w:t>Этап 2025 года - проведение исследований по потокам углерода</w:t>
      </w:r>
      <w:r>
        <w:rPr>
          <w:rFonts w:cs="Times New Roman"/>
          <w:b/>
          <w:bCs/>
        </w:rPr>
        <w:t>.</w:t>
      </w:r>
    </w:p>
    <w:p w14:paraId="34760423">
      <w:pPr>
        <w:spacing w:line="240" w:lineRule="auto"/>
        <w:ind w:firstLine="708"/>
        <w:jc w:val="both"/>
        <w:rPr>
          <w:rFonts w:cs="Times New Roman"/>
          <w:bCs/>
        </w:rPr>
      </w:pPr>
      <w:r>
        <w:rPr>
          <w:rFonts w:cs="Times New Roman"/>
          <w:bCs/>
        </w:rPr>
        <w:t>Модельный участок мы создали на склоне ул. Энтузиастов оклоло ЖК Биосфера, расположенный близко к географическому центру города.</w:t>
      </w:r>
    </w:p>
    <w:p w14:paraId="693D1D62">
      <w:pPr>
        <w:spacing w:line="240" w:lineRule="auto"/>
        <w:ind w:firstLine="708"/>
        <w:jc w:val="both"/>
        <w:rPr>
          <w:rFonts w:cs="Times New Roman"/>
        </w:rPr>
      </w:pPr>
      <w:r>
        <w:rPr>
          <w:rFonts w:cs="Times New Roman"/>
        </w:rPr>
        <w:t>На первом этапе в 2023 году мы провели работу с литературой, изучили типы травяных растительных сообществ Южного Урала</w:t>
      </w:r>
      <w:r>
        <w:rPr>
          <w:rFonts w:cs="Times New Roman"/>
          <w:b/>
        </w:rPr>
        <w:t xml:space="preserve"> </w:t>
      </w:r>
      <w:r>
        <w:rPr>
          <w:rFonts w:cs="Times New Roman"/>
        </w:rPr>
        <w:t>и</w:t>
      </w:r>
      <w:r>
        <w:rPr>
          <w:rFonts w:cs="Times New Roman"/>
          <w:b/>
        </w:rPr>
        <w:t xml:space="preserve"> </w:t>
      </w:r>
      <w:r>
        <w:rPr>
          <w:rFonts w:cs="Times New Roman"/>
        </w:rPr>
        <w:t>подобрали ассортимент видов для травосмеси.</w:t>
      </w:r>
    </w:p>
    <w:p w14:paraId="2F9B8044">
      <w:pPr>
        <w:spacing w:line="240" w:lineRule="auto"/>
        <w:ind w:firstLine="708"/>
        <w:jc w:val="both"/>
        <w:rPr>
          <w:rFonts w:cs="Times New Roman"/>
        </w:rPr>
      </w:pPr>
      <w:r>
        <w:rPr>
          <w:rFonts w:cs="Times New Roman"/>
        </w:rPr>
        <w:t xml:space="preserve">Семена для создания травяного сообщества нам были предоставлены Уфимским ОПХ УФИЦ РАН.  </w:t>
      </w:r>
    </w:p>
    <w:p w14:paraId="2C4C7F1A">
      <w:pPr>
        <w:spacing w:line="240" w:lineRule="auto"/>
        <w:ind w:firstLine="708"/>
        <w:jc w:val="both"/>
        <w:rPr>
          <w:rFonts w:cs="Times New Roman"/>
        </w:rPr>
      </w:pPr>
      <w:r>
        <w:rPr>
          <w:rFonts w:cs="Times New Roman"/>
        </w:rPr>
        <w:t xml:space="preserve">В 2023 году весной был произведен посев на модельном участке. Помощь в планировке и посеве оказали сотрудники фирмы «Зеленая волна» методом гидропосева. </w:t>
      </w:r>
    </w:p>
    <w:p w14:paraId="38BF485B">
      <w:pPr>
        <w:spacing w:line="240" w:lineRule="auto"/>
        <w:ind w:firstLine="708"/>
        <w:jc w:val="both"/>
        <w:rPr>
          <w:rFonts w:cs="Times New Roman"/>
        </w:rPr>
      </w:pPr>
      <w:r>
        <w:rPr>
          <w:rFonts w:cs="Times New Roman"/>
        </w:rPr>
        <w:t xml:space="preserve">С 2023 по 2025 гг. производился мониторинг состояния фитоценоза. </w:t>
      </w:r>
    </w:p>
    <w:p w14:paraId="036C6B99">
      <w:pPr>
        <w:spacing w:line="240" w:lineRule="auto"/>
        <w:ind w:firstLine="708"/>
        <w:jc w:val="both"/>
        <w:rPr>
          <w:rFonts w:cs="Times New Roman"/>
        </w:rPr>
      </w:pPr>
      <w:r>
        <w:rPr>
          <w:rFonts w:cs="Times New Roman"/>
        </w:rPr>
        <w:t>В течение вегетационного сезона в 2024 и 2025 гг. изучался флористический состав геоботаническими методами. Были выполнены геоботанические описания на площадках 100 кв. м. (Миркин, Наумова, 2002). Растения определялись по определителям (Определитель…, 1988, 1989).</w:t>
      </w:r>
    </w:p>
    <w:p w14:paraId="477AD90F">
      <w:pPr>
        <w:pStyle w:val="18"/>
        <w:spacing w:line="240" w:lineRule="auto"/>
        <w:ind w:left="0" w:firstLine="709"/>
        <w:jc w:val="both"/>
        <w:rPr>
          <w:rFonts w:cs="Times New Roman"/>
        </w:rPr>
      </w:pPr>
      <w:r>
        <w:rPr>
          <w:rFonts w:cs="Times New Roman"/>
        </w:rPr>
        <w:t>Также изучалась продуктивность фитоценоза методом укоса на площадках 1 кв.м (</w:t>
      </w:r>
      <w:r>
        <w:rPr>
          <w:rFonts w:cs="Times New Roman"/>
          <w:color w:val="000000" w:themeColor="text1"/>
          <w14:textFill>
            <w14:solidFill>
              <w14:schemeClr w14:val="tx1"/>
            </w14:solidFill>
          </w14:textFill>
        </w:rPr>
        <w:t>Титлянова, 1988).</w:t>
      </w:r>
    </w:p>
    <w:p w14:paraId="37FA5B4E">
      <w:pPr>
        <w:pStyle w:val="14"/>
        <w:spacing w:before="0" w:beforeAutospacing="0" w:after="0" w:afterAutospacing="0" w:line="240" w:lineRule="auto"/>
        <w:ind w:firstLine="708"/>
        <w:jc w:val="both"/>
        <w:rPr>
          <w:rFonts w:eastAsiaTheme="minorEastAsia"/>
          <w:color w:val="000000" w:themeColor="text1"/>
          <w:kern w:val="24"/>
          <w:sz w:val="28"/>
          <w:szCs w:val="28"/>
          <w14:textFill>
            <w14:solidFill>
              <w14:schemeClr w14:val="tx1"/>
            </w14:solidFill>
          </w14:textFill>
        </w:rPr>
      </w:pPr>
      <w:r>
        <w:rPr>
          <w:rFonts w:eastAsiaTheme="minorEastAsia"/>
          <w:color w:val="000000" w:themeColor="text1"/>
          <w:kern w:val="24"/>
          <w:sz w:val="28"/>
          <w:szCs w:val="28"/>
          <w14:textFill>
            <w14:solidFill>
              <w14:schemeClr w14:val="tx1"/>
            </w14:solidFill>
          </w14:textFill>
        </w:rPr>
        <w:t xml:space="preserve">В 2025 году  проведены исследования на модельных участках по оценке потенциала депонирования углерода. Измерение потоков </w:t>
      </w:r>
      <w:r>
        <w:rPr>
          <w:rFonts w:eastAsiaTheme="minorEastAsia"/>
          <w:color w:val="000000" w:themeColor="text1"/>
          <w:kern w:val="24"/>
          <w:sz w:val="28"/>
          <w:szCs w:val="28"/>
          <w:lang w:val="en-US"/>
          <w14:textFill>
            <w14:solidFill>
              <w14:schemeClr w14:val="tx1"/>
            </w14:solidFill>
          </w14:textFill>
        </w:rPr>
        <w:t>CO</w:t>
      </w:r>
      <w:r>
        <w:rPr>
          <w:rFonts w:eastAsiaTheme="minorEastAsia"/>
          <w:color w:val="000000" w:themeColor="text1"/>
          <w:kern w:val="24"/>
          <w:sz w:val="28"/>
          <w:szCs w:val="28"/>
          <w14:textFill>
            <w14:solidFill>
              <w14:schemeClr w14:val="tx1"/>
            </w14:solidFill>
          </w14:textFill>
        </w:rPr>
        <w:t>2 c применением камерного метода выполнена газоанализатором LI-7810 (LI-COR)+комплект камер для измерения динамики парниковых газов, проведено совместно с сотрудниками Центра технологий декарбонизации УГНТУ (рис. 2).</w:t>
      </w:r>
    </w:p>
    <w:p w14:paraId="1818AAF1">
      <w:pPr>
        <w:pStyle w:val="14"/>
        <w:spacing w:before="0" w:beforeAutospacing="0" w:after="0" w:afterAutospacing="0" w:line="240" w:lineRule="auto"/>
        <w:ind w:firstLine="708"/>
        <w:jc w:val="both"/>
        <w:rPr>
          <w:rFonts w:eastAsiaTheme="minorEastAsia"/>
          <w:b/>
          <w:color w:val="000000" w:themeColor="text1"/>
          <w:kern w:val="24"/>
          <w:sz w:val="28"/>
          <w:szCs w:val="28"/>
          <w14:textFill>
            <w14:solidFill>
              <w14:schemeClr w14:val="tx1"/>
            </w14:solidFill>
          </w14:textFill>
        </w:rPr>
      </w:pPr>
      <w:r>
        <w:rPr>
          <w:rFonts w:eastAsiaTheme="minorEastAsia"/>
          <w:color w:val="000000" w:themeColor="text1"/>
          <w:kern w:val="24"/>
          <w:sz w:val="28"/>
          <w:szCs w:val="28"/>
          <w14:textFill>
            <w14:solidFill>
              <w14:schemeClr w14:val="tx1"/>
            </w14:solidFill>
          </w14:textFill>
        </w:rPr>
        <w:drawing>
          <wp:inline distT="0" distB="0" distL="0" distR="0">
            <wp:extent cx="4968240" cy="2776855"/>
            <wp:effectExtent l="0" t="0" r="3810" b="4445"/>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4968552" cy="2777480"/>
                    </a:xfrm>
                    <a:prstGeom prst="rect">
                      <a:avLst/>
                    </a:prstGeom>
                  </pic:spPr>
                </pic:pic>
              </a:graphicData>
            </a:graphic>
          </wp:inline>
        </w:drawing>
      </w:r>
      <w:r>
        <w:rPr>
          <w:rFonts w:eastAsiaTheme="minorEastAsia"/>
          <w:color w:val="000000" w:themeColor="text1"/>
          <w:kern w:val="24"/>
          <w:sz w:val="28"/>
          <w:szCs w:val="28"/>
          <w14:textFill>
            <w14:solidFill>
              <w14:schemeClr w14:val="tx1"/>
            </w14:solidFill>
          </w14:textFill>
        </w:rPr>
        <w:t xml:space="preserve">  </w:t>
      </w:r>
    </w:p>
    <w:p w14:paraId="65506575">
      <w:pPr>
        <w:pStyle w:val="14"/>
        <w:spacing w:before="0" w:beforeAutospacing="0" w:after="0" w:afterAutospacing="0" w:line="240" w:lineRule="auto"/>
        <w:ind w:firstLine="708"/>
        <w:jc w:val="both"/>
        <w:rPr>
          <w:sz w:val="28"/>
          <w:szCs w:val="28"/>
        </w:rPr>
      </w:pPr>
      <w:r>
        <w:rPr>
          <w:rFonts w:eastAsiaTheme="minorEastAsia"/>
          <w:color w:val="000000" w:themeColor="text1"/>
          <w:kern w:val="24"/>
          <w:sz w:val="28"/>
          <w:szCs w:val="28"/>
          <w14:textFill>
            <w14:solidFill>
              <w14:schemeClr w14:val="tx1"/>
            </w14:solidFill>
          </w14:textFill>
        </w:rPr>
        <w:t>Рис. 2. Газоанализатор LI-7810 (LI-COR).</w:t>
      </w:r>
    </w:p>
    <w:p w14:paraId="111DF465">
      <w:pPr>
        <w:spacing w:line="240" w:lineRule="auto"/>
        <w:ind w:firstLine="708"/>
        <w:jc w:val="both"/>
        <w:rPr>
          <w:rFonts w:cs="Times New Roman"/>
        </w:rPr>
      </w:pPr>
      <w:r>
        <w:rPr>
          <w:rFonts w:cs="Times New Roman"/>
        </w:rPr>
        <w:t xml:space="preserve">Замеры потоков  </w:t>
      </w:r>
      <w:r>
        <w:rPr>
          <w:rFonts w:eastAsiaTheme="minorEastAsia"/>
          <w:color w:val="000000" w:themeColor="text1"/>
          <w:kern w:val="24"/>
          <w:lang w:val="en-US"/>
          <w14:textFill>
            <w14:solidFill>
              <w14:schemeClr w14:val="tx1"/>
            </w14:solidFill>
          </w14:textFill>
        </w:rPr>
        <w:t>CO</w:t>
      </w:r>
      <w:r>
        <w:rPr>
          <w:rFonts w:eastAsiaTheme="minorEastAsia"/>
          <w:color w:val="000000" w:themeColor="text1"/>
          <w:kern w:val="24"/>
          <w14:textFill>
            <w14:solidFill>
              <w14:schemeClr w14:val="tx1"/>
            </w14:solidFill>
          </w14:textFill>
        </w:rPr>
        <w:t xml:space="preserve">2 </w:t>
      </w:r>
      <w:r>
        <w:rPr>
          <w:rFonts w:cs="Times New Roman"/>
        </w:rPr>
        <w:t>проведены на трех модельных участках:</w:t>
      </w:r>
    </w:p>
    <w:p w14:paraId="324ABBEB">
      <w:pPr>
        <w:spacing w:line="240" w:lineRule="auto"/>
        <w:ind w:firstLine="708"/>
        <w:jc w:val="both"/>
        <w:rPr>
          <w:rFonts w:cs="Times New Roman"/>
        </w:rPr>
      </w:pPr>
      <w:r>
        <w:rPr>
          <w:rFonts w:cs="Times New Roman"/>
        </w:rPr>
        <w:t>1 участок – заложенный нами опыт с травосмесью на склоне.</w:t>
      </w:r>
    </w:p>
    <w:p w14:paraId="5A2E0C10">
      <w:pPr>
        <w:spacing w:line="240" w:lineRule="auto"/>
        <w:ind w:firstLine="708"/>
        <w:jc w:val="both"/>
        <w:rPr>
          <w:rFonts w:cs="Times New Roman"/>
        </w:rPr>
      </w:pPr>
      <w:r>
        <w:rPr>
          <w:rFonts w:cs="Times New Roman"/>
        </w:rPr>
        <w:t>2 участок – городской газон на эродированном склон (контроль)</w:t>
      </w:r>
    </w:p>
    <w:p w14:paraId="5543B29F">
      <w:pPr>
        <w:spacing w:line="240" w:lineRule="auto"/>
        <w:ind w:firstLine="708"/>
        <w:jc w:val="both"/>
        <w:rPr>
          <w:rFonts w:cs="Times New Roman"/>
        </w:rPr>
      </w:pPr>
      <w:r>
        <w:rPr>
          <w:rFonts w:cs="Times New Roman"/>
        </w:rPr>
        <w:t>3 участок - рулонный газон во дворе (контроль)</w:t>
      </w:r>
    </w:p>
    <w:p w14:paraId="42683030">
      <w:pPr>
        <w:spacing w:line="240" w:lineRule="auto"/>
        <w:jc w:val="both"/>
        <w:rPr>
          <w:rFonts w:cs="Times New Roman"/>
        </w:rPr>
      </w:pPr>
      <w:r>
        <w:rPr>
          <w:rFonts w:cs="Times New Roman"/>
        </w:rPr>
        <w:t>На каждом участке проведено 3 замера. В каждом замере было смоделированы дневной поток (дневная фаза) и ночной поток (ночная фаза).</w:t>
      </w:r>
    </w:p>
    <w:p w14:paraId="4E990FD9">
      <w:pPr>
        <w:jc w:val="both"/>
        <w:rPr>
          <w:rFonts w:cs="Times New Roman"/>
        </w:rPr>
      </w:pPr>
    </w:p>
    <w:p w14:paraId="63D3A591">
      <w:pPr>
        <w:jc w:val="both"/>
        <w:rPr>
          <w:rFonts w:cs="Times New Roman"/>
          <w:b/>
        </w:rPr>
      </w:pPr>
    </w:p>
    <w:p w14:paraId="2EB3CDC3">
      <w:pPr>
        <w:jc w:val="both"/>
        <w:rPr>
          <w:rFonts w:cs="Times New Roman"/>
          <w:b/>
        </w:rPr>
      </w:pPr>
    </w:p>
    <w:p w14:paraId="143D4CCF">
      <w:pPr>
        <w:jc w:val="both"/>
        <w:rPr>
          <w:rFonts w:cs="Times New Roman"/>
          <w:b/>
        </w:rPr>
      </w:pPr>
    </w:p>
    <w:p w14:paraId="2DE01BB6">
      <w:pPr>
        <w:jc w:val="both"/>
        <w:rPr>
          <w:rFonts w:cs="Times New Roman"/>
          <w:b/>
        </w:rPr>
      </w:pPr>
    </w:p>
    <w:p w14:paraId="02B5BC9C">
      <w:pPr>
        <w:jc w:val="both"/>
        <w:rPr>
          <w:b/>
          <w:lang w:eastAsia="ru-RU"/>
        </w:rPr>
      </w:pPr>
      <w:r>
        <w:rPr>
          <w:b/>
          <w:lang w:eastAsia="ru-RU"/>
        </w:rPr>
        <w:t xml:space="preserve"> </w:t>
      </w:r>
    </w:p>
    <w:p w14:paraId="6CB9D4B5">
      <w:pPr>
        <w:jc w:val="both"/>
        <w:rPr>
          <w:b/>
          <w:lang w:eastAsia="ru-RU"/>
        </w:rPr>
      </w:pPr>
    </w:p>
    <w:p w14:paraId="24D2321C">
      <w:pPr>
        <w:pStyle w:val="18"/>
        <w:ind w:left="0"/>
        <w:jc w:val="center"/>
        <w:rPr>
          <w:rFonts w:cs="Times New Roman"/>
          <w:b/>
        </w:rPr>
      </w:pPr>
    </w:p>
    <w:p w14:paraId="4F116036">
      <w:pPr>
        <w:pStyle w:val="18"/>
        <w:ind w:left="0"/>
        <w:jc w:val="center"/>
        <w:rPr>
          <w:rFonts w:cs="Times New Roman"/>
          <w:b/>
        </w:rPr>
      </w:pPr>
    </w:p>
    <w:p w14:paraId="08FC0680">
      <w:pPr>
        <w:pStyle w:val="18"/>
        <w:ind w:left="0"/>
        <w:jc w:val="center"/>
        <w:rPr>
          <w:rFonts w:cs="Times New Roman"/>
          <w:b/>
        </w:rPr>
      </w:pPr>
    </w:p>
    <w:p w14:paraId="083759CF">
      <w:pPr>
        <w:pStyle w:val="18"/>
        <w:ind w:left="0"/>
        <w:jc w:val="center"/>
        <w:rPr>
          <w:rFonts w:cs="Times New Roman"/>
          <w:b/>
        </w:rPr>
      </w:pPr>
    </w:p>
    <w:p w14:paraId="760D6B9C">
      <w:pPr>
        <w:pStyle w:val="18"/>
        <w:spacing w:line="240" w:lineRule="auto"/>
        <w:ind w:left="0"/>
        <w:jc w:val="center"/>
        <w:rPr>
          <w:rFonts w:cs="Times New Roman"/>
          <w:b/>
        </w:rPr>
      </w:pPr>
      <w:r>
        <w:rPr>
          <w:rFonts w:cs="Times New Roman"/>
          <w:b/>
        </w:rPr>
        <w:t>Глава 4. Результаты исследования</w:t>
      </w:r>
    </w:p>
    <w:p w14:paraId="047B2383">
      <w:pPr>
        <w:spacing w:line="240" w:lineRule="auto"/>
        <w:jc w:val="center"/>
        <w:rPr>
          <w:rFonts w:cs="Times New Roman"/>
          <w:b/>
        </w:rPr>
      </w:pPr>
      <w:r>
        <w:rPr>
          <w:rFonts w:cs="Times New Roman"/>
          <w:b/>
        </w:rPr>
        <w:t>4.1. Выбор площадки для закладка опыта.</w:t>
      </w:r>
    </w:p>
    <w:p w14:paraId="5BCE11B1">
      <w:pPr>
        <w:spacing w:line="240" w:lineRule="auto"/>
        <w:ind w:firstLine="708"/>
        <w:jc w:val="both"/>
        <w:rPr>
          <w:rFonts w:cs="Times New Roman"/>
          <w:b/>
        </w:rPr>
      </w:pPr>
      <w:r>
        <w:rPr>
          <w:rFonts w:cs="Times New Roman"/>
        </w:rPr>
        <w:t xml:space="preserve">Для закладки опыта в 2023 году был выбран участок около ЖК Биосфера. Одной стороной участок контактирует со спортивной площадкой с другой - улицей Энтузиастов (рис. 3). </w:t>
      </w:r>
      <w:r>
        <w:rPr>
          <w:bCs/>
        </w:rPr>
        <w:t xml:space="preserve">Экологические условия участка: склон восточной экспозиции, уклон 30 градусов, хорошо дренированное солнечное место, почва чернозем (завозной грунт).  </w:t>
      </w:r>
      <w:r>
        <w:rPr>
          <w:rFonts w:cs="Times New Roman"/>
          <w:b/>
        </w:rPr>
        <w:t xml:space="preserve">Периметр участка - 177.35 м. Площадь участка - 1 133.56 м2. </w:t>
      </w:r>
    </w:p>
    <w:p w14:paraId="1D6E5B6F">
      <w:pPr>
        <w:jc w:val="center"/>
        <w:rPr>
          <w:rFonts w:cs="Times New Roman"/>
          <w:b/>
          <w:bCs/>
        </w:rPr>
      </w:pPr>
      <w:r>
        <w:rPr>
          <w:lang w:eastAsia="ru-RU"/>
        </w:rPr>
        <w:drawing>
          <wp:inline distT="0" distB="0" distL="0" distR="0">
            <wp:extent cx="6119495" cy="26955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9"/>
                    <a:stretch>
                      <a:fillRect/>
                    </a:stretch>
                  </pic:blipFill>
                  <pic:spPr>
                    <a:xfrm>
                      <a:off x="0" y="0"/>
                      <a:ext cx="6119495" cy="2695575"/>
                    </a:xfrm>
                    <a:prstGeom prst="rect">
                      <a:avLst/>
                    </a:prstGeom>
                  </pic:spPr>
                </pic:pic>
              </a:graphicData>
            </a:graphic>
          </wp:inline>
        </w:drawing>
      </w:r>
      <w:r>
        <w:rPr>
          <w:lang w:eastAsia="ru-RU"/>
        </w:rPr>
        <w:t xml:space="preserve"> </w:t>
      </w:r>
      <w:r>
        <w:rPr>
          <w:rFonts w:cs="Times New Roman"/>
          <w:b/>
          <w:bCs/>
          <w:lang w:eastAsia="ru-RU"/>
        </w:rPr>
        <w:drawing>
          <wp:inline distT="0" distB="0" distL="0" distR="0">
            <wp:extent cx="6119495" cy="263842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a:picLocks noChangeAspect="1"/>
                    </pic:cNvPicPr>
                  </pic:nvPicPr>
                  <pic:blipFill>
                    <a:blip r:embed="rId10"/>
                    <a:stretch>
                      <a:fillRect/>
                    </a:stretch>
                  </pic:blipFill>
                  <pic:spPr>
                    <a:xfrm>
                      <a:off x="0" y="0"/>
                      <a:ext cx="6119495" cy="2638425"/>
                    </a:xfrm>
                    <a:prstGeom prst="rect">
                      <a:avLst/>
                    </a:prstGeom>
                  </pic:spPr>
                </pic:pic>
              </a:graphicData>
            </a:graphic>
          </wp:inline>
        </w:drawing>
      </w:r>
    </w:p>
    <w:p w14:paraId="4EF6CAFD">
      <w:pPr>
        <w:spacing w:line="240" w:lineRule="auto"/>
        <w:jc w:val="center"/>
        <w:rPr>
          <w:rFonts w:cs="Times New Roman"/>
        </w:rPr>
      </w:pPr>
      <w:r>
        <w:rPr>
          <w:rFonts w:cs="Times New Roman"/>
          <w:bCs/>
        </w:rPr>
        <w:t xml:space="preserve">Рис. 3. Расположение модельного участка </w:t>
      </w:r>
      <w:r>
        <w:rPr>
          <w:rFonts w:cs="Times New Roman"/>
        </w:rPr>
        <w:t xml:space="preserve">в </w:t>
      </w:r>
      <w:r>
        <w:rPr>
          <w:rFonts w:cs="Times New Roman"/>
          <w:bCs/>
        </w:rPr>
        <w:t xml:space="preserve">ЖК «БИОСФЕРА». А. состояние на весну 2023 года. Б. состояние на август 2025 года. </w:t>
      </w:r>
    </w:p>
    <w:p w14:paraId="21C82720">
      <w:pPr>
        <w:spacing w:line="240" w:lineRule="auto"/>
        <w:jc w:val="center"/>
        <w:rPr>
          <w:rFonts w:cs="Times New Roman"/>
          <w:b/>
        </w:rPr>
      </w:pPr>
      <w:r>
        <w:rPr>
          <w:rFonts w:cs="Times New Roman"/>
          <w:b/>
        </w:rPr>
        <w:t xml:space="preserve">4.2. Подбор травосмеси для создания травяного сообщества </w:t>
      </w:r>
    </w:p>
    <w:p w14:paraId="44E58BB5">
      <w:pPr>
        <w:spacing w:line="240" w:lineRule="auto"/>
        <w:ind w:firstLine="708"/>
        <w:jc w:val="both"/>
        <w:rPr>
          <w:rFonts w:cs="Times New Roman"/>
          <w:bCs/>
        </w:rPr>
      </w:pPr>
      <w:r>
        <w:rPr>
          <w:rFonts w:cs="Times New Roman"/>
          <w:bCs/>
        </w:rPr>
        <w:t>Изучив литературу по степям и лугам, а также по посевам многолетних трав на Южном Урале, мы пришли к выводу, что м</w:t>
      </w:r>
      <w:r>
        <w:rPr>
          <w:rFonts w:cs="Times New Roman"/>
        </w:rPr>
        <w:t>ноголетние травы оказывают сильное воздействие на почву - травы обогащают почву органической массой за счет поступления корневых и пожнивных остатков, которые способствуют накоплению элементов питания в пахотном горизонте почвы и дополнительно стимулируют активность азотфиксирующих микроорганизмов, тем самым обеспечивают положительный баланс гумуса (</w:t>
      </w:r>
      <w:r>
        <w:rPr>
          <w:rFonts w:cs="Times New Roman"/>
          <w:lang w:val="en-US"/>
        </w:rPr>
        <w:t>Smaliychuk</w:t>
      </w:r>
      <w:r>
        <w:rPr>
          <w:rFonts w:cs="Times New Roman"/>
        </w:rPr>
        <w:t xml:space="preserve"> </w:t>
      </w:r>
      <w:r>
        <w:rPr>
          <w:rFonts w:cs="Times New Roman"/>
          <w:lang w:val="en-US"/>
        </w:rPr>
        <w:t>et</w:t>
      </w:r>
      <w:r>
        <w:rPr>
          <w:rFonts w:cs="Times New Roman"/>
        </w:rPr>
        <w:t xml:space="preserve"> </w:t>
      </w:r>
      <w:r>
        <w:rPr>
          <w:rFonts w:cs="Times New Roman"/>
          <w:lang w:val="en-US"/>
        </w:rPr>
        <w:t>al</w:t>
      </w:r>
      <w:r>
        <w:rPr>
          <w:rFonts w:cs="Times New Roman"/>
        </w:rPr>
        <w:t>., 2016). С</w:t>
      </w:r>
      <w:r>
        <w:rPr>
          <w:rFonts w:cs="Times New Roman"/>
          <w:bCs/>
        </w:rPr>
        <w:t xml:space="preserve"> учетом расположения и характера местообитания участка в городе мы разработали 6 критериев, по которым надо было подобрать виды многолетних трав для создания нашего модельного растительного сообщества.</w:t>
      </w:r>
    </w:p>
    <w:p w14:paraId="152D3D89">
      <w:pPr>
        <w:pStyle w:val="18"/>
        <w:numPr>
          <w:ilvl w:val="0"/>
          <w:numId w:val="6"/>
        </w:numPr>
        <w:spacing w:line="240" w:lineRule="auto"/>
        <w:jc w:val="both"/>
        <w:rPr>
          <w:rFonts w:cs="Times New Roman"/>
          <w:bCs/>
        </w:rPr>
      </w:pPr>
      <w:r>
        <w:rPr>
          <w:rFonts w:cs="Times New Roman"/>
          <w:bCs/>
        </w:rPr>
        <w:t>Виды должны быть широко распространены в травяных экосистемах Южного Урала.</w:t>
      </w:r>
    </w:p>
    <w:p w14:paraId="76A14E67">
      <w:pPr>
        <w:pStyle w:val="18"/>
        <w:numPr>
          <w:ilvl w:val="0"/>
          <w:numId w:val="6"/>
        </w:numPr>
        <w:spacing w:line="240" w:lineRule="auto"/>
        <w:jc w:val="both"/>
        <w:rPr>
          <w:rFonts w:cs="Times New Roman"/>
          <w:bCs/>
        </w:rPr>
      </w:pPr>
      <w:r>
        <w:rPr>
          <w:rFonts w:cs="Times New Roman"/>
          <w:bCs/>
        </w:rPr>
        <w:t>Виды должны относиться к группе ксерофитов и (или) мезоксерофитов.</w:t>
      </w:r>
    </w:p>
    <w:p w14:paraId="675E027E">
      <w:pPr>
        <w:pStyle w:val="18"/>
        <w:numPr>
          <w:ilvl w:val="0"/>
          <w:numId w:val="6"/>
        </w:numPr>
        <w:spacing w:line="240" w:lineRule="auto"/>
        <w:jc w:val="both"/>
        <w:rPr>
          <w:rFonts w:cs="Times New Roman"/>
          <w:bCs/>
        </w:rPr>
      </w:pPr>
      <w:r>
        <w:rPr>
          <w:rFonts w:cs="Times New Roman"/>
          <w:bCs/>
        </w:rPr>
        <w:t>Виды должны представить группу разнотравья и группу злаков.</w:t>
      </w:r>
    </w:p>
    <w:p w14:paraId="0CBB79C5">
      <w:pPr>
        <w:pStyle w:val="18"/>
        <w:numPr>
          <w:ilvl w:val="0"/>
          <w:numId w:val="6"/>
        </w:numPr>
        <w:spacing w:line="240" w:lineRule="auto"/>
        <w:jc w:val="both"/>
        <w:rPr>
          <w:rFonts w:cs="Times New Roman"/>
          <w:bCs/>
        </w:rPr>
      </w:pPr>
      <w:r>
        <w:rPr>
          <w:rFonts w:cs="Times New Roman"/>
          <w:bCs/>
        </w:rPr>
        <w:t>Виды должны быть устойчивые к антропогенному фактору (вытаптывание, одноразовое скашивание, газоустойчивые).</w:t>
      </w:r>
    </w:p>
    <w:p w14:paraId="3C34B3D4">
      <w:pPr>
        <w:pStyle w:val="18"/>
        <w:numPr>
          <w:ilvl w:val="0"/>
          <w:numId w:val="6"/>
        </w:numPr>
        <w:spacing w:line="240" w:lineRule="auto"/>
        <w:jc w:val="both"/>
        <w:rPr>
          <w:rFonts w:cs="Times New Roman"/>
          <w:bCs/>
        </w:rPr>
      </w:pPr>
      <w:r>
        <w:rPr>
          <w:rFonts w:cs="Times New Roman"/>
          <w:bCs/>
        </w:rPr>
        <w:t>Виды, не сложные в плане ухода.</w:t>
      </w:r>
    </w:p>
    <w:p w14:paraId="2A1E1962">
      <w:pPr>
        <w:pStyle w:val="18"/>
        <w:numPr>
          <w:ilvl w:val="0"/>
          <w:numId w:val="6"/>
        </w:numPr>
        <w:spacing w:line="240" w:lineRule="auto"/>
        <w:jc w:val="both"/>
        <w:rPr>
          <w:rFonts w:cs="Times New Roman"/>
          <w:bCs/>
        </w:rPr>
      </w:pPr>
      <w:r>
        <w:rPr>
          <w:rFonts w:cs="Times New Roman"/>
          <w:bCs/>
        </w:rPr>
        <w:t>Виды, семена которых доступны для приобретения (для возможности в дальнейшем масштабировать результаты исследования).</w:t>
      </w:r>
    </w:p>
    <w:p w14:paraId="1A67864F">
      <w:pPr>
        <w:spacing w:line="240" w:lineRule="auto"/>
        <w:jc w:val="both"/>
        <w:rPr>
          <w:rFonts w:cs="Times New Roman"/>
          <w:bCs/>
        </w:rPr>
      </w:pPr>
      <w:r>
        <w:rPr>
          <w:rFonts w:cs="Times New Roman"/>
          <w:bCs/>
        </w:rPr>
        <w:t xml:space="preserve">Этим критериям соответствовали 4 вида, которые нами взяты для закладки опыта:  </w:t>
      </w:r>
    </w:p>
    <w:p w14:paraId="713B2893">
      <w:pPr>
        <w:pStyle w:val="18"/>
        <w:numPr>
          <w:ilvl w:val="0"/>
          <w:numId w:val="7"/>
        </w:numPr>
        <w:spacing w:line="240" w:lineRule="auto"/>
        <w:ind w:left="0" w:firstLine="709"/>
        <w:jc w:val="both"/>
        <w:rPr>
          <w:rFonts w:cs="Times New Roman"/>
        </w:rPr>
      </w:pPr>
      <w:r>
        <w:rPr>
          <w:rFonts w:cs="Times New Roman"/>
        </w:rPr>
        <w:t xml:space="preserve">люцерны посевной синегибридной (Medicago sativa), </w:t>
      </w:r>
    </w:p>
    <w:p w14:paraId="4E462F60">
      <w:pPr>
        <w:pStyle w:val="18"/>
        <w:numPr>
          <w:ilvl w:val="0"/>
          <w:numId w:val="7"/>
        </w:numPr>
        <w:spacing w:line="240" w:lineRule="auto"/>
        <w:ind w:left="0" w:firstLine="709"/>
        <w:jc w:val="both"/>
        <w:rPr>
          <w:rFonts w:cs="Times New Roman"/>
        </w:rPr>
      </w:pPr>
      <w:r>
        <w:rPr>
          <w:rFonts w:cs="Times New Roman"/>
        </w:rPr>
        <w:t xml:space="preserve">клевера лугового (Trifolium pretense), </w:t>
      </w:r>
    </w:p>
    <w:p w14:paraId="43A5037A">
      <w:pPr>
        <w:pStyle w:val="18"/>
        <w:numPr>
          <w:ilvl w:val="0"/>
          <w:numId w:val="7"/>
        </w:numPr>
        <w:spacing w:line="240" w:lineRule="auto"/>
        <w:ind w:left="0" w:firstLine="709"/>
        <w:jc w:val="both"/>
        <w:rPr>
          <w:rFonts w:cs="Times New Roman"/>
        </w:rPr>
      </w:pPr>
      <w:r>
        <w:rPr>
          <w:rFonts w:cs="Times New Roman"/>
        </w:rPr>
        <w:t xml:space="preserve">пырея ползучего (Elytrígia repens), </w:t>
      </w:r>
    </w:p>
    <w:p w14:paraId="075F9380">
      <w:pPr>
        <w:pStyle w:val="18"/>
        <w:numPr>
          <w:ilvl w:val="0"/>
          <w:numId w:val="7"/>
        </w:numPr>
        <w:spacing w:line="240" w:lineRule="auto"/>
        <w:ind w:left="0" w:firstLine="709"/>
        <w:jc w:val="both"/>
        <w:rPr>
          <w:rFonts w:cs="Times New Roman"/>
        </w:rPr>
      </w:pPr>
      <w:r>
        <w:rPr>
          <w:rFonts w:cs="Times New Roman"/>
        </w:rPr>
        <w:t>житняка ширококолосого (Agropyron pectiniforme).</w:t>
      </w:r>
    </w:p>
    <w:p w14:paraId="5D34B9DC">
      <w:pPr>
        <w:spacing w:line="240" w:lineRule="auto"/>
        <w:ind w:firstLine="708"/>
        <w:jc w:val="both"/>
        <w:rPr>
          <w:rFonts w:cs="Times New Roman"/>
        </w:rPr>
      </w:pPr>
      <w:r>
        <w:rPr>
          <w:rFonts w:cs="Times New Roman"/>
        </w:rPr>
        <w:t xml:space="preserve">Семена для создания травяного сообщества нам были предоставлены Уфимским ОПХ УФИЦ РАН.  </w:t>
      </w:r>
    </w:p>
    <w:p w14:paraId="64C13BD7">
      <w:pPr>
        <w:spacing w:line="240" w:lineRule="auto"/>
        <w:jc w:val="center"/>
        <w:rPr>
          <w:rFonts w:cs="Times New Roman"/>
          <w:b/>
        </w:rPr>
      </w:pPr>
      <w:r>
        <w:rPr>
          <w:rFonts w:cs="Times New Roman"/>
          <w:b/>
        </w:rPr>
        <w:t xml:space="preserve">4.3. Создание и мониторинг травяного сообщества </w:t>
      </w:r>
    </w:p>
    <w:p w14:paraId="38EECE72">
      <w:pPr>
        <w:spacing w:line="240" w:lineRule="auto"/>
        <w:ind w:firstLine="708"/>
        <w:jc w:val="both"/>
        <w:rPr>
          <w:rFonts w:cs="Times New Roman"/>
          <w:bCs/>
        </w:rPr>
      </w:pPr>
      <w:r>
        <w:rPr>
          <w:rFonts w:cs="Times New Roman"/>
          <w:bCs/>
        </w:rPr>
        <w:t xml:space="preserve">В  мае 2023 года были проведены работы по созданию сообщества многолетних трав на склоне (рис. 4). На подготовленный участок при участии работников формы «Зеленая волна» методом гидропосева были высеяны семенная смесь из 4 видов - люцерны посевной синегибридной (Medicago sativa),  клевера лугового (Trifolium pretense),  пырея ползучего (Elytrígia repens), житняка ширококолосого (Agropyron pectiniforme). В конце июня был получен развитый травостой (рис. Б). </w:t>
      </w:r>
    </w:p>
    <w:p w14:paraId="59E48DAB">
      <w:pPr>
        <w:jc w:val="both"/>
        <w:rPr>
          <w:rFonts w:cs="Times New Roman"/>
          <w:bCs/>
        </w:rPr>
      </w:pPr>
      <w:r>
        <w:rPr>
          <w:lang w:eastAsia="ru-RU"/>
        </w:rPr>
        <w:drawing>
          <wp:inline distT="0" distB="0" distL="0" distR="0">
            <wp:extent cx="5581015" cy="2590800"/>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5590075" cy="2595006"/>
                    </a:xfrm>
                    <a:prstGeom prst="rect">
                      <a:avLst/>
                    </a:prstGeom>
                  </pic:spPr>
                </pic:pic>
              </a:graphicData>
            </a:graphic>
          </wp:inline>
        </w:drawing>
      </w:r>
      <w:r>
        <w:rPr>
          <w:lang w:eastAsia="ru-RU"/>
        </w:rPr>
        <w:drawing>
          <wp:inline distT="0" distB="0" distL="0" distR="0">
            <wp:extent cx="5552440" cy="336232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53005" cy="3362667"/>
                    </a:xfrm>
                    <a:prstGeom prst="rect">
                      <a:avLst/>
                    </a:prstGeom>
                  </pic:spPr>
                </pic:pic>
              </a:graphicData>
            </a:graphic>
          </wp:inline>
        </w:drawing>
      </w:r>
    </w:p>
    <w:p w14:paraId="290B493C">
      <w:pPr>
        <w:ind w:firstLine="708"/>
        <w:jc w:val="both"/>
        <w:rPr>
          <w:rFonts w:cs="Times New Roman"/>
          <w:bCs/>
        </w:rPr>
      </w:pPr>
      <w:r>
        <w:rPr>
          <w:rFonts w:cs="Times New Roman"/>
          <w:bCs/>
        </w:rPr>
        <w:t xml:space="preserve">Рис. 4. Этапы создание и внешний вид участка в 2023 (А) и 2024 (Б). </w:t>
      </w:r>
    </w:p>
    <w:p w14:paraId="1512AEEF">
      <w:pPr>
        <w:pStyle w:val="14"/>
        <w:jc w:val="center"/>
      </w:pPr>
      <w:r>
        <w:drawing>
          <wp:inline distT="0" distB="0" distL="0" distR="0">
            <wp:extent cx="3708400" cy="4923790"/>
            <wp:effectExtent l="0" t="0" r="635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pic:cNvPicPr>
                  </pic:nvPicPr>
                  <pic:blipFill>
                    <a:blip r:embed="rId13"/>
                    <a:stretch>
                      <a:fillRect/>
                    </a:stretch>
                  </pic:blipFill>
                  <pic:spPr>
                    <a:xfrm>
                      <a:off x="0" y="0"/>
                      <a:ext cx="3728337" cy="4950254"/>
                    </a:xfrm>
                    <a:prstGeom prst="rect">
                      <a:avLst/>
                    </a:prstGeom>
                  </pic:spPr>
                </pic:pic>
              </a:graphicData>
            </a:graphic>
          </wp:inline>
        </w:drawing>
      </w:r>
    </w:p>
    <w:p w14:paraId="09EF11D3">
      <w:pPr>
        <w:spacing w:line="240" w:lineRule="auto"/>
        <w:ind w:firstLine="708"/>
        <w:jc w:val="both"/>
        <w:rPr>
          <w:rFonts w:cs="Times New Roman"/>
          <w:bCs/>
        </w:rPr>
      </w:pPr>
      <w:r>
        <w:rPr>
          <w:rFonts w:cs="Times New Roman"/>
          <w:bCs/>
        </w:rPr>
        <w:t xml:space="preserve">Рис. 5. Проведение укосов для расчета биомассы. </w:t>
      </w:r>
    </w:p>
    <w:p w14:paraId="4E2C7967">
      <w:pPr>
        <w:spacing w:line="240" w:lineRule="auto"/>
        <w:jc w:val="both"/>
        <w:rPr>
          <w:rFonts w:cs="Times New Roman"/>
        </w:rPr>
      </w:pPr>
      <w:r>
        <w:rPr>
          <w:rFonts w:cs="Times New Roman"/>
        </w:rPr>
        <w:t>С июня 2023 года по август 2025 года проведены исследования по продуктивности травостоя методом укосов (рис. 5). Анализ полученных данных (табл. 1) показал, что на третий год биомасса выросла почти в 10 раз.</w:t>
      </w:r>
    </w:p>
    <w:p w14:paraId="156F4CD0">
      <w:pPr>
        <w:spacing w:line="240" w:lineRule="auto"/>
        <w:ind w:firstLine="708"/>
        <w:jc w:val="both"/>
        <w:rPr>
          <w:rFonts w:cs="Times New Roman"/>
          <w:bCs/>
        </w:rPr>
      </w:pPr>
    </w:p>
    <w:p w14:paraId="28E132EC">
      <w:pPr>
        <w:ind w:firstLine="708"/>
        <w:jc w:val="right"/>
        <w:rPr>
          <w:rFonts w:cs="Times New Roman"/>
          <w:bCs/>
        </w:rPr>
      </w:pPr>
      <w:r>
        <w:rPr>
          <w:rFonts w:cs="Times New Roman"/>
          <w:bCs/>
        </w:rPr>
        <w:t>Таблица1</w:t>
      </w:r>
    </w:p>
    <w:p w14:paraId="13D01E87">
      <w:pPr>
        <w:ind w:firstLine="708"/>
        <w:jc w:val="center"/>
        <w:rPr>
          <w:rFonts w:cs="Times New Roman"/>
          <w:bCs/>
        </w:rPr>
      </w:pPr>
      <w:r>
        <w:rPr>
          <w:rFonts w:cs="Times New Roman"/>
          <w:bCs/>
        </w:rPr>
        <w:t>Динамика биомассы по годам</w:t>
      </w:r>
    </w:p>
    <w:tbl>
      <w:tblPr>
        <w:tblStyle w:val="16"/>
        <w:tblW w:w="7366"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39"/>
        <w:gridCol w:w="1101"/>
        <w:gridCol w:w="1134"/>
        <w:gridCol w:w="992"/>
      </w:tblGrid>
      <w:tr w14:paraId="4E574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39" w:type="dxa"/>
          </w:tcPr>
          <w:p w14:paraId="67635361">
            <w:pPr>
              <w:spacing w:line="240" w:lineRule="auto"/>
              <w:jc w:val="both"/>
              <w:rPr>
                <w:rFonts w:cs="Times New Roman"/>
              </w:rPr>
            </w:pPr>
            <w:r>
              <w:rPr>
                <w:rFonts w:cs="Times New Roman"/>
              </w:rPr>
              <w:t>Год</w:t>
            </w:r>
          </w:p>
        </w:tc>
        <w:tc>
          <w:tcPr>
            <w:tcW w:w="1101" w:type="dxa"/>
          </w:tcPr>
          <w:p w14:paraId="607962D2">
            <w:pPr>
              <w:spacing w:line="240" w:lineRule="auto"/>
              <w:jc w:val="center"/>
              <w:rPr>
                <w:rFonts w:cs="Times New Roman"/>
              </w:rPr>
            </w:pPr>
            <w:r>
              <w:rPr>
                <w:rFonts w:cs="Times New Roman"/>
              </w:rPr>
              <w:t>2023</w:t>
            </w:r>
          </w:p>
        </w:tc>
        <w:tc>
          <w:tcPr>
            <w:tcW w:w="1134" w:type="dxa"/>
          </w:tcPr>
          <w:p w14:paraId="127FCB93">
            <w:pPr>
              <w:spacing w:line="240" w:lineRule="auto"/>
              <w:jc w:val="center"/>
              <w:rPr>
                <w:rFonts w:cs="Times New Roman"/>
              </w:rPr>
            </w:pPr>
            <w:r>
              <w:rPr>
                <w:rFonts w:cs="Times New Roman"/>
              </w:rPr>
              <w:t>2024</w:t>
            </w:r>
          </w:p>
        </w:tc>
        <w:tc>
          <w:tcPr>
            <w:tcW w:w="992" w:type="dxa"/>
          </w:tcPr>
          <w:p w14:paraId="08F23BEE">
            <w:pPr>
              <w:spacing w:line="240" w:lineRule="auto"/>
              <w:jc w:val="center"/>
              <w:rPr>
                <w:rFonts w:cs="Times New Roman"/>
              </w:rPr>
            </w:pPr>
            <w:r>
              <w:rPr>
                <w:rFonts w:cs="Times New Roman"/>
              </w:rPr>
              <w:t>2025</w:t>
            </w:r>
          </w:p>
        </w:tc>
      </w:tr>
      <w:tr w14:paraId="78619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39" w:type="dxa"/>
          </w:tcPr>
          <w:p w14:paraId="19984D75">
            <w:pPr>
              <w:spacing w:line="240" w:lineRule="auto"/>
              <w:jc w:val="both"/>
              <w:rPr>
                <w:rFonts w:cs="Times New Roman"/>
              </w:rPr>
            </w:pPr>
            <w:r>
              <w:rPr>
                <w:rFonts w:cs="Times New Roman"/>
              </w:rPr>
              <w:t>Месяц</w:t>
            </w:r>
          </w:p>
        </w:tc>
        <w:tc>
          <w:tcPr>
            <w:tcW w:w="1101" w:type="dxa"/>
          </w:tcPr>
          <w:p w14:paraId="7CD999D6">
            <w:pPr>
              <w:spacing w:line="240" w:lineRule="auto"/>
              <w:jc w:val="center"/>
              <w:rPr>
                <w:rFonts w:cs="Times New Roman"/>
              </w:rPr>
            </w:pPr>
            <w:r>
              <w:rPr>
                <w:rFonts w:cs="Times New Roman"/>
              </w:rPr>
              <w:t>июнь</w:t>
            </w:r>
          </w:p>
        </w:tc>
        <w:tc>
          <w:tcPr>
            <w:tcW w:w="1134" w:type="dxa"/>
          </w:tcPr>
          <w:p w14:paraId="42CE7234">
            <w:pPr>
              <w:spacing w:line="240" w:lineRule="auto"/>
              <w:jc w:val="center"/>
              <w:rPr>
                <w:rFonts w:cs="Times New Roman"/>
              </w:rPr>
            </w:pPr>
            <w:r>
              <w:rPr>
                <w:rFonts w:cs="Times New Roman"/>
              </w:rPr>
              <w:t>август</w:t>
            </w:r>
          </w:p>
        </w:tc>
        <w:tc>
          <w:tcPr>
            <w:tcW w:w="992" w:type="dxa"/>
          </w:tcPr>
          <w:p w14:paraId="30E866A8">
            <w:pPr>
              <w:spacing w:line="240" w:lineRule="auto"/>
              <w:jc w:val="center"/>
              <w:rPr>
                <w:rFonts w:cs="Times New Roman"/>
              </w:rPr>
            </w:pPr>
            <w:r>
              <w:rPr>
                <w:rFonts w:cs="Times New Roman"/>
              </w:rPr>
              <w:t>август</w:t>
            </w:r>
          </w:p>
        </w:tc>
      </w:tr>
      <w:tr w14:paraId="755C4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39" w:type="dxa"/>
          </w:tcPr>
          <w:p w14:paraId="56042169">
            <w:pPr>
              <w:spacing w:line="240" w:lineRule="auto"/>
              <w:jc w:val="both"/>
              <w:rPr>
                <w:rFonts w:cs="Times New Roman"/>
              </w:rPr>
            </w:pPr>
            <w:r>
              <w:rPr>
                <w:rFonts w:cs="Times New Roman"/>
              </w:rPr>
              <w:t>Сырая биомасса, кг/м2</w:t>
            </w:r>
          </w:p>
        </w:tc>
        <w:tc>
          <w:tcPr>
            <w:tcW w:w="1101" w:type="dxa"/>
          </w:tcPr>
          <w:p w14:paraId="5AA57839">
            <w:pPr>
              <w:spacing w:line="240" w:lineRule="auto"/>
              <w:jc w:val="center"/>
              <w:rPr>
                <w:rFonts w:cs="Times New Roman"/>
              </w:rPr>
            </w:pPr>
            <w:r>
              <w:rPr>
                <w:rFonts w:cs="Times New Roman"/>
              </w:rPr>
              <w:t>0,3</w:t>
            </w:r>
          </w:p>
        </w:tc>
        <w:tc>
          <w:tcPr>
            <w:tcW w:w="1134" w:type="dxa"/>
          </w:tcPr>
          <w:p w14:paraId="12875860">
            <w:pPr>
              <w:spacing w:line="240" w:lineRule="auto"/>
              <w:jc w:val="center"/>
              <w:rPr>
                <w:rFonts w:cs="Times New Roman"/>
              </w:rPr>
            </w:pPr>
            <w:r>
              <w:rPr>
                <w:rFonts w:cs="Times New Roman"/>
              </w:rPr>
              <w:t>1,83</w:t>
            </w:r>
          </w:p>
        </w:tc>
        <w:tc>
          <w:tcPr>
            <w:tcW w:w="992" w:type="dxa"/>
          </w:tcPr>
          <w:p w14:paraId="2268B156">
            <w:pPr>
              <w:spacing w:line="240" w:lineRule="auto"/>
              <w:jc w:val="center"/>
              <w:rPr>
                <w:rFonts w:cs="Times New Roman"/>
              </w:rPr>
            </w:pPr>
            <w:r>
              <w:rPr>
                <w:rFonts w:cs="Times New Roman"/>
              </w:rPr>
              <w:t>2,92</w:t>
            </w:r>
          </w:p>
        </w:tc>
      </w:tr>
    </w:tbl>
    <w:p w14:paraId="63D7DD57">
      <w:pPr>
        <w:ind w:firstLine="708"/>
        <w:jc w:val="both"/>
        <w:rPr>
          <w:rFonts w:cs="Times New Roman"/>
          <w:bCs/>
        </w:rPr>
      </w:pPr>
    </w:p>
    <w:p w14:paraId="36D5CFA1">
      <w:pPr>
        <w:spacing w:line="240" w:lineRule="auto"/>
        <w:ind w:firstLine="708"/>
        <w:jc w:val="both"/>
        <w:rPr>
          <w:rFonts w:cs="Times New Roman"/>
        </w:rPr>
      </w:pPr>
      <w:r>
        <w:rPr>
          <w:rFonts w:cs="Times New Roman"/>
          <w:bCs/>
        </w:rPr>
        <w:t xml:space="preserve">Анализ геоботанических описаний, выполненные автором в течение трех лет (рис.6) выявил динамику флористического состава на модельном участке. Из диаграммы видно, как меняется соотношение числа естественных и синантропных видов. В первый год на 4 высеянных вида приходилось 7 синантропных видов (Свербига восточная, Бодяк обыкновенный, </w:t>
      </w:r>
      <w:r>
        <w:rPr>
          <w:rFonts w:cs="Times New Roman"/>
        </w:rPr>
        <w:t>Чертополох колючий</w:t>
      </w:r>
      <w:r>
        <w:rPr>
          <w:rFonts w:cs="Times New Roman"/>
          <w:bCs/>
        </w:rPr>
        <w:t xml:space="preserve">, </w:t>
      </w:r>
      <w:r>
        <w:rPr>
          <w:rFonts w:cs="Times New Roman"/>
        </w:rPr>
        <w:t xml:space="preserve">Латук компасный, Марь белая, Трехреберник непахучий, Щетинник зеленый). К 3 году, к группе естественных видов </w:t>
      </w:r>
      <w:r>
        <w:rPr>
          <w:rFonts w:cs="Times New Roman"/>
          <w:bCs/>
        </w:rPr>
        <w:t>добавились 3 вида (</w:t>
      </w:r>
      <w:r>
        <w:rPr>
          <w:rFonts w:cs="Times New Roman"/>
        </w:rPr>
        <w:t xml:space="preserve">Кострец безостый, Таволга обыкновенная, Клевер горный). При этом число синантроных снизилось до 4-х (рис. 7). </w:t>
      </w:r>
    </w:p>
    <w:p w14:paraId="0160499C">
      <w:pPr>
        <w:ind w:firstLine="708"/>
        <w:jc w:val="both"/>
        <w:rPr>
          <w:rFonts w:cs="Times New Roman"/>
          <w:bCs/>
        </w:rPr>
      </w:pPr>
      <w:r>
        <w:rPr>
          <w:lang w:eastAsia="ru-RU"/>
        </w:rPr>
        <w:drawing>
          <wp:inline distT="0" distB="0" distL="0" distR="0">
            <wp:extent cx="3785870" cy="5048250"/>
            <wp:effectExtent l="0" t="0" r="508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pic:cNvPicPr>
                  </pic:nvPicPr>
                  <pic:blipFill>
                    <a:blip r:embed="rId14"/>
                    <a:stretch>
                      <a:fillRect/>
                    </a:stretch>
                  </pic:blipFill>
                  <pic:spPr>
                    <a:xfrm>
                      <a:off x="0" y="0"/>
                      <a:ext cx="3793197" cy="5057859"/>
                    </a:xfrm>
                    <a:prstGeom prst="rect">
                      <a:avLst/>
                    </a:prstGeom>
                  </pic:spPr>
                </pic:pic>
              </a:graphicData>
            </a:graphic>
          </wp:inline>
        </w:drawing>
      </w:r>
    </w:p>
    <w:p w14:paraId="77D5C9BF">
      <w:pPr>
        <w:ind w:firstLine="708"/>
        <w:jc w:val="both"/>
        <w:rPr>
          <w:rFonts w:cs="Times New Roman"/>
          <w:bCs/>
        </w:rPr>
      </w:pPr>
      <w:r>
        <w:rPr>
          <w:rFonts w:cs="Times New Roman"/>
          <w:bCs/>
        </w:rPr>
        <w:t>Рис.6. Выполнения геоботанических описаний.</w:t>
      </w:r>
    </w:p>
    <w:p w14:paraId="5E9AB5BF">
      <w:pPr>
        <w:ind w:firstLine="708"/>
        <w:jc w:val="both"/>
        <w:rPr>
          <w:rFonts w:cs="Times New Roman"/>
          <w:bCs/>
        </w:rPr>
      </w:pPr>
    </w:p>
    <w:p w14:paraId="2630C7C4">
      <w:pPr>
        <w:ind w:firstLine="142"/>
        <w:jc w:val="both"/>
        <w:rPr>
          <w:rFonts w:cs="Times New Roman"/>
          <w:bCs/>
        </w:rPr>
      </w:pPr>
      <w:r>
        <w:rPr>
          <w:lang w:eastAsia="ru-RU"/>
        </w:rPr>
        <w:drawing>
          <wp:inline distT="0" distB="0" distL="0" distR="0">
            <wp:extent cx="5153025" cy="3800475"/>
            <wp:effectExtent l="0" t="0" r="9525" b="952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CD77415">
      <w:pPr>
        <w:ind w:firstLine="708"/>
        <w:jc w:val="both"/>
        <w:rPr>
          <w:rFonts w:cs="Times New Roman"/>
          <w:bCs/>
        </w:rPr>
      </w:pPr>
      <w:r>
        <w:rPr>
          <w:rFonts w:cs="Times New Roman"/>
          <w:bCs/>
        </w:rPr>
        <w:t xml:space="preserve"> Рис.7. Динамика естественных и синантропных видов на модельном участке. </w:t>
      </w:r>
    </w:p>
    <w:p w14:paraId="27132687">
      <w:pPr>
        <w:spacing w:line="240" w:lineRule="auto"/>
        <w:ind w:firstLine="708"/>
        <w:jc w:val="both"/>
        <w:rPr>
          <w:rFonts w:cs="Times New Roman"/>
          <w:b/>
          <w:bCs/>
        </w:rPr>
      </w:pPr>
      <w:r>
        <w:rPr>
          <w:rFonts w:cs="Times New Roman"/>
          <w:b/>
          <w:bCs/>
        </w:rPr>
        <w:t xml:space="preserve">4.4. Расчет потока углекислого газа </w:t>
      </w:r>
    </w:p>
    <w:p w14:paraId="3C6B4B6A">
      <w:pPr>
        <w:spacing w:line="240" w:lineRule="auto"/>
        <w:ind w:firstLine="708"/>
        <w:jc w:val="both"/>
        <w:rPr>
          <w:rFonts w:cs="Times New Roman"/>
        </w:rPr>
      </w:pPr>
      <w:r>
        <w:rPr>
          <w:rFonts w:cs="Times New Roman"/>
        </w:rPr>
        <w:t xml:space="preserve">Замеры потоков  </w:t>
      </w:r>
      <w:r>
        <w:rPr>
          <w:rFonts w:eastAsiaTheme="minorEastAsia"/>
          <w:color w:val="000000" w:themeColor="text1"/>
          <w:kern w:val="24"/>
          <w:lang w:val="en-US"/>
          <w14:textFill>
            <w14:solidFill>
              <w14:schemeClr w14:val="tx1"/>
            </w14:solidFill>
          </w14:textFill>
        </w:rPr>
        <w:t>CO</w:t>
      </w:r>
      <w:r>
        <w:rPr>
          <w:rFonts w:eastAsiaTheme="minorEastAsia"/>
          <w:color w:val="000000" w:themeColor="text1"/>
          <w:kern w:val="24"/>
          <w14:textFill>
            <w14:solidFill>
              <w14:schemeClr w14:val="tx1"/>
            </w14:solidFill>
          </w14:textFill>
        </w:rPr>
        <w:t xml:space="preserve">2 (рис. 8) </w:t>
      </w:r>
      <w:r>
        <w:rPr>
          <w:rFonts w:cs="Times New Roman"/>
        </w:rPr>
        <w:t xml:space="preserve">с использованием газоанализатора </w:t>
      </w:r>
      <w:r>
        <w:rPr>
          <w:rFonts w:eastAsiaTheme="minorEastAsia"/>
          <w:color w:val="000000" w:themeColor="text1"/>
          <w:kern w:val="24"/>
          <w14:textFill>
            <w14:solidFill>
              <w14:schemeClr w14:val="tx1"/>
            </w14:solidFill>
          </w14:textFill>
        </w:rPr>
        <w:t>LI-7810 (LI-COR) проведено на созданном растительном сообществе (участок 1 – модельный), а также для сравнительного анализа (контроля) еще на двух участках:  рядом на склоне с обычным городским синантропным сообществом (участок 2)  и на рулонном газоне во дворе ЖК БИОСФЕРА (</w:t>
      </w:r>
      <w:r>
        <w:rPr>
          <w:rFonts w:cs="Times New Roman"/>
        </w:rPr>
        <w:t>участок 3). Расположение участков и их внешний вид показано на рис. 10. Расположение точек замеров приведены на рис. 9.</w:t>
      </w:r>
    </w:p>
    <w:p w14:paraId="3503035F">
      <w:pPr>
        <w:ind w:firstLine="708"/>
        <w:jc w:val="both"/>
        <w:rPr>
          <w:rFonts w:cs="Times New Roman"/>
          <w:sz w:val="24"/>
          <w:szCs w:val="24"/>
        </w:rPr>
      </w:pPr>
      <w:r>
        <w:rPr>
          <w:lang w:eastAsia="ru-RU"/>
        </w:rPr>
        <w:drawing>
          <wp:inline distT="0" distB="0" distL="0" distR="0">
            <wp:extent cx="2840355" cy="3787775"/>
            <wp:effectExtent l="0" t="0" r="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pic:cNvPicPr>
                  </pic:nvPicPr>
                  <pic:blipFill>
                    <a:blip r:embed="rId16"/>
                    <a:stretch>
                      <a:fillRect/>
                    </a:stretch>
                  </pic:blipFill>
                  <pic:spPr>
                    <a:xfrm>
                      <a:off x="0" y="0"/>
                      <a:ext cx="2845666" cy="3794417"/>
                    </a:xfrm>
                    <a:prstGeom prst="rect">
                      <a:avLst/>
                    </a:prstGeom>
                  </pic:spPr>
                </pic:pic>
              </a:graphicData>
            </a:graphic>
          </wp:inline>
        </w:drawing>
      </w:r>
    </w:p>
    <w:p w14:paraId="50BD9C8F">
      <w:pPr>
        <w:spacing w:line="240" w:lineRule="auto"/>
        <w:ind w:firstLine="708"/>
        <w:jc w:val="both"/>
        <w:rPr>
          <w:rFonts w:cs="Times New Roman"/>
        </w:rPr>
      </w:pPr>
      <w:r>
        <w:rPr>
          <w:rFonts w:cs="Times New Roman"/>
        </w:rPr>
        <w:t xml:space="preserve">Рис. 8. Замеры потоков углекислого газа газоанализатором </w:t>
      </w:r>
      <w:r>
        <w:rPr>
          <w:rFonts w:eastAsiaTheme="minorEastAsia"/>
          <w:color w:val="000000" w:themeColor="text1"/>
          <w:kern w:val="24"/>
          <w14:textFill>
            <w14:solidFill>
              <w14:schemeClr w14:val="tx1"/>
            </w14:solidFill>
          </w14:textFill>
        </w:rPr>
        <w:t xml:space="preserve">LI-7810 (LI-COR) в 2025 году. </w:t>
      </w:r>
    </w:p>
    <w:p w14:paraId="02136BC1">
      <w:pPr>
        <w:spacing w:line="240" w:lineRule="auto"/>
        <w:ind w:firstLine="708"/>
        <w:jc w:val="both"/>
        <w:rPr>
          <w:rFonts w:cs="Times New Roman"/>
        </w:rPr>
      </w:pPr>
      <w:r>
        <w:rPr>
          <w:rFonts w:cs="Times New Roman"/>
          <w:b/>
        </w:rPr>
        <w:t>Участок № 1</w:t>
      </w:r>
      <w:r>
        <w:rPr>
          <w:rFonts w:cs="Times New Roman"/>
        </w:rPr>
        <w:t xml:space="preserve"> (модельный)– сообщество многолетних трав созданных нами на основе травосмеси из 4 видов (люцерна, клевер, пырей, житняк) на склоне. Общее проективное покрытие (ОПП) травостоя – 100%. Полива нет. Режим сенокошения – один раз в сезон. Площадь участка – 2200 кв.м. Почва – чернозем (завезен, глубина 20 см). </w:t>
      </w:r>
    </w:p>
    <w:p w14:paraId="430042FF">
      <w:pPr>
        <w:spacing w:line="240" w:lineRule="auto"/>
        <w:ind w:firstLine="708"/>
        <w:jc w:val="both"/>
        <w:rPr>
          <w:rFonts w:cs="Times New Roman"/>
        </w:rPr>
      </w:pPr>
      <w:r>
        <w:rPr>
          <w:rFonts w:cs="Times New Roman"/>
          <w:b/>
        </w:rPr>
        <w:t>Участок №2</w:t>
      </w:r>
      <w:r>
        <w:rPr>
          <w:rFonts w:cs="Times New Roman"/>
        </w:rPr>
        <w:t xml:space="preserve"> представляет травяное сообщество, возникшее спонтанно, с преобладанием синантропных видов – мятлика однолетнего, одуванчика лекарственного, горца птичьего, кульбабы осенней, клевера ползучего, подорожника среднего, чертополоха окаймленного.  Сообщество коситься низко раз в неделю низко (до 5 см) триммерами. Полива нет. ОПП травостоя – 30%. Почва – техногенные грунты.</w:t>
      </w:r>
    </w:p>
    <w:p w14:paraId="7567328B">
      <w:pPr>
        <w:jc w:val="both"/>
        <w:rPr>
          <w:rFonts w:cs="Times New Roman"/>
        </w:rPr>
      </w:pPr>
      <w:r>
        <w:rPr>
          <w:rFonts w:cs="Times New Roman"/>
          <w:lang w:eastAsia="ru-RU"/>
        </w:rPr>
        <w:drawing>
          <wp:inline distT="0" distB="0" distL="0" distR="0">
            <wp:extent cx="5981700" cy="282384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a:blip r:embed="rId17"/>
                    <a:stretch>
                      <a:fillRect/>
                    </a:stretch>
                  </pic:blipFill>
                  <pic:spPr>
                    <a:xfrm>
                      <a:off x="0" y="0"/>
                      <a:ext cx="6024538" cy="2844068"/>
                    </a:xfrm>
                    <a:prstGeom prst="rect">
                      <a:avLst/>
                    </a:prstGeom>
                  </pic:spPr>
                </pic:pic>
              </a:graphicData>
            </a:graphic>
          </wp:inline>
        </w:drawing>
      </w:r>
    </w:p>
    <w:p w14:paraId="30E4FD4E">
      <w:pPr>
        <w:spacing w:line="240" w:lineRule="auto"/>
        <w:ind w:firstLine="708"/>
        <w:jc w:val="both"/>
        <w:rPr>
          <w:rFonts w:cs="Times New Roman"/>
        </w:rPr>
      </w:pPr>
      <w:r>
        <w:rPr>
          <w:rFonts w:cs="Times New Roman"/>
        </w:rPr>
        <w:t xml:space="preserve">Рис. 9. Расположение точек замеров </w:t>
      </w:r>
      <w:r>
        <w:rPr>
          <w:rFonts w:cs="Times New Roman"/>
          <w:lang w:val="en-US"/>
        </w:rPr>
        <w:t>CO</w:t>
      </w:r>
      <w:r>
        <w:rPr>
          <w:rFonts w:cs="Times New Roman"/>
        </w:rPr>
        <w:t>2.  Участок № 1 – заложенный нами опыт с травосмесью на склоне; участок №2– городской газон на склоне; участок №3- рулонный газон во дворе.</w:t>
      </w:r>
    </w:p>
    <w:p w14:paraId="245DA8DC">
      <w:pPr>
        <w:spacing w:line="240" w:lineRule="auto"/>
        <w:ind w:firstLine="708"/>
        <w:jc w:val="both"/>
        <w:rPr>
          <w:rFonts w:cs="Times New Roman"/>
          <w:sz w:val="24"/>
          <w:szCs w:val="24"/>
        </w:rPr>
      </w:pPr>
    </w:p>
    <w:p w14:paraId="1105E490">
      <w:pPr>
        <w:spacing w:line="240" w:lineRule="auto"/>
        <w:ind w:firstLine="708"/>
        <w:jc w:val="both"/>
        <w:rPr>
          <w:rFonts w:cs="Times New Roman"/>
        </w:rPr>
      </w:pPr>
      <w:r>
        <w:rPr>
          <w:rFonts w:cs="Times New Roman"/>
          <w:b/>
        </w:rPr>
        <w:t>Участок № 3</w:t>
      </w:r>
      <w:r>
        <w:rPr>
          <w:rFonts w:cs="Times New Roman"/>
        </w:rPr>
        <w:t xml:space="preserve"> представляет искусственно созданный рулонный газон, с доминированием мятлика лугового. Синантропных видов мало, редко встречается  подорожник большой и одуванчик лекарственный.  Сообщество коситься на высоту 15 см раз в неделю газонокосилками. Полив есть. ОПП травостоя - 100%. Почва – чернозем (завезен, 20 см).</w:t>
      </w:r>
    </w:p>
    <w:p w14:paraId="6573CD05">
      <w:pPr>
        <w:ind w:firstLine="708"/>
        <w:jc w:val="both"/>
        <w:rPr>
          <w:rFonts w:cs="Times New Roman"/>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85"/>
        <w:gridCol w:w="4640"/>
      </w:tblGrid>
      <w:tr w14:paraId="39B56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11" w:type="dxa"/>
            <w:vMerge w:val="restart"/>
          </w:tcPr>
          <w:p w14:paraId="6638CD12">
            <w:pPr>
              <w:spacing w:line="240" w:lineRule="auto"/>
              <w:jc w:val="both"/>
              <w:rPr>
                <w:rFonts w:cs="Times New Roman"/>
                <w:b/>
                <w:lang w:eastAsia="ru-RU"/>
              </w:rPr>
            </w:pPr>
          </w:p>
          <w:p w14:paraId="13B45B58">
            <w:pPr>
              <w:spacing w:line="240" w:lineRule="auto"/>
              <w:jc w:val="both"/>
              <w:rPr>
                <w:rFonts w:cs="Times New Roman"/>
                <w:b/>
                <w:lang w:eastAsia="ru-RU"/>
              </w:rPr>
            </w:pPr>
          </w:p>
          <w:p w14:paraId="4D678550">
            <w:pPr>
              <w:spacing w:line="240" w:lineRule="auto"/>
              <w:jc w:val="both"/>
              <w:rPr>
                <w:rFonts w:cs="Times New Roman"/>
                <w:b/>
                <w:lang w:eastAsia="ru-RU"/>
              </w:rPr>
            </w:pPr>
          </w:p>
          <w:p w14:paraId="25238FB1">
            <w:pPr>
              <w:spacing w:line="240" w:lineRule="auto"/>
              <w:jc w:val="both"/>
              <w:rPr>
                <w:rFonts w:cs="Times New Roman"/>
                <w:b/>
                <w:lang w:eastAsia="ru-RU"/>
              </w:rPr>
            </w:pPr>
          </w:p>
          <w:p w14:paraId="0BD87487">
            <w:pPr>
              <w:spacing w:line="240" w:lineRule="auto"/>
              <w:jc w:val="both"/>
              <w:rPr>
                <w:rFonts w:cs="Times New Roman"/>
                <w:b/>
                <w:lang w:eastAsia="ru-RU"/>
              </w:rPr>
            </w:pPr>
          </w:p>
          <w:p w14:paraId="0CDF10DE">
            <w:pPr>
              <w:spacing w:line="240" w:lineRule="auto"/>
              <w:jc w:val="both"/>
              <w:rPr>
                <w:rFonts w:cs="Times New Roman"/>
                <w:b/>
                <w:lang w:eastAsia="ru-RU"/>
              </w:rPr>
            </w:pPr>
          </w:p>
          <w:p w14:paraId="077B725E">
            <w:pPr>
              <w:spacing w:line="240" w:lineRule="auto"/>
              <w:jc w:val="both"/>
              <w:rPr>
                <w:rFonts w:cs="Times New Roman"/>
                <w:b/>
                <w:lang w:eastAsia="ru-RU"/>
              </w:rPr>
            </w:pPr>
          </w:p>
          <w:p w14:paraId="6096D810">
            <w:pPr>
              <w:spacing w:line="240" w:lineRule="auto"/>
              <w:jc w:val="both"/>
              <w:rPr>
                <w:rFonts w:cs="Times New Roman"/>
                <w:b/>
                <w:lang w:eastAsia="ru-RU"/>
              </w:rPr>
            </w:pPr>
            <w:r>
              <w:rPr>
                <w:b/>
                <w:lang w:eastAsia="ru-RU"/>
              </w:rPr>
              <mc:AlternateContent>
                <mc:Choice Requires="wps">
                  <w:drawing>
                    <wp:anchor distT="0" distB="0" distL="114300" distR="114300" simplePos="0" relativeHeight="251661312" behindDoc="0" locked="0" layoutInCell="1" allowOverlap="1">
                      <wp:simplePos x="0" y="0"/>
                      <wp:positionH relativeFrom="column">
                        <wp:posOffset>932815</wp:posOffset>
                      </wp:positionH>
                      <wp:positionV relativeFrom="paragraph">
                        <wp:posOffset>213360</wp:posOffset>
                      </wp:positionV>
                      <wp:extent cx="3028950" cy="2143125"/>
                      <wp:effectExtent l="19050" t="38100" r="57150" b="47625"/>
                      <wp:wrapNone/>
                      <wp:docPr id="14" name="Прямая со стрелкой 14"/>
                      <wp:cNvGraphicFramePr/>
                      <a:graphic xmlns:a="http://schemas.openxmlformats.org/drawingml/2006/main">
                        <a:graphicData uri="http://schemas.microsoft.com/office/word/2010/wordprocessingShape">
                          <wps:wsp>
                            <wps:cNvCnPr/>
                            <wps:spPr>
                              <a:xfrm flipV="1">
                                <a:off x="0" y="0"/>
                                <a:ext cx="3028950" cy="2143125"/>
                              </a:xfrm>
                              <a:prstGeom prst="straightConnector1">
                                <a:avLst/>
                              </a:prstGeom>
                              <a:ln w="5715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_x0000_s1026" o:spid="_x0000_s1026" o:spt="32" type="#_x0000_t32" style="position:absolute;left:0pt;flip:y;margin-left:73.45pt;margin-top:16.8pt;height:168.75pt;width:238.5pt;z-index:251661312;mso-width-relative:page;mso-height-relative:page;" filled="f" stroked="t" coordsize="21600,21600" o:gfxdata="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3BBHS2AAAAAoBAAAPAAAAAAAAAAEAIAAAACIAAABkcnMvZG93bnJldi54bWxQ&#10;SwECFAAUAAAACACHTuJALniX2zACAAAjBAAADgAAAAAAAAABACAAAAAnAQAAZHJzL2Uyb0RvYy54&#10;bWxQSwUGAAAAAAYABgBZAQAAyQUAAAAA&#10;">
                      <v:fill on="f" focussize="0,0"/>
                      <v:stroke weight="4.5pt" color="#BE4B48 [3205]" joinstyle="round" endarrow="block"/>
                      <v:imagedata o:title=""/>
                      <o:lock v:ext="edit" aspectratio="f"/>
                    </v:shape>
                  </w:pict>
                </mc:Fallback>
              </mc:AlternateContent>
            </w:r>
          </w:p>
          <w:p w14:paraId="540B6797">
            <w:pPr>
              <w:spacing w:line="240" w:lineRule="auto"/>
              <w:jc w:val="both"/>
              <w:rPr>
                <w:rFonts w:cs="Times New Roman"/>
                <w:b/>
                <w:lang w:eastAsia="ru-RU"/>
              </w:rPr>
            </w:pPr>
          </w:p>
          <w:p w14:paraId="79AACD24">
            <w:pPr>
              <w:spacing w:line="240" w:lineRule="auto"/>
              <w:jc w:val="both"/>
              <w:rPr>
                <w:rFonts w:cs="Times New Roman"/>
                <w:b/>
                <w:lang w:eastAsia="ru-RU"/>
              </w:rPr>
            </w:pPr>
          </w:p>
          <w:p w14:paraId="7798D92C">
            <w:pPr>
              <w:spacing w:line="240" w:lineRule="auto"/>
              <w:jc w:val="both"/>
              <w:rPr>
                <w:rFonts w:cs="Times New Roman"/>
                <w:b/>
                <w:lang w:eastAsia="ru-RU"/>
              </w:rPr>
            </w:pPr>
          </w:p>
          <w:p w14:paraId="0D579AF6">
            <w:pPr>
              <w:spacing w:line="240" w:lineRule="auto"/>
              <w:jc w:val="both"/>
              <w:rPr>
                <w:rFonts w:cs="Times New Roman"/>
                <w:b/>
                <w:lang w:eastAsia="ru-RU"/>
              </w:rPr>
            </w:pPr>
          </w:p>
          <w:p w14:paraId="77A0F00D">
            <w:pPr>
              <w:spacing w:line="240" w:lineRule="auto"/>
              <w:jc w:val="both"/>
              <w:rPr>
                <w:b/>
                <w:lang w:eastAsia="ru-RU"/>
              </w:rPr>
            </w:pPr>
            <w:r>
              <w:rPr>
                <w:b/>
                <w:lang w:eastAsia="ru-RU"/>
              </w:rPr>
              <mc:AlternateContent>
                <mc:Choice Requires="wps">
                  <w:drawing>
                    <wp:anchor distT="0" distB="0" distL="114300" distR="114300" simplePos="0" relativeHeight="251660288" behindDoc="0" locked="0" layoutInCell="1" allowOverlap="1">
                      <wp:simplePos x="0" y="0"/>
                      <wp:positionH relativeFrom="column">
                        <wp:posOffset>2085340</wp:posOffset>
                      </wp:positionH>
                      <wp:positionV relativeFrom="paragraph">
                        <wp:posOffset>2934970</wp:posOffset>
                      </wp:positionV>
                      <wp:extent cx="2114550" cy="1104900"/>
                      <wp:effectExtent l="19050" t="19050" r="76200" b="57150"/>
                      <wp:wrapNone/>
                      <wp:docPr id="13" name="Прямая со стрелкой 13"/>
                      <wp:cNvGraphicFramePr/>
                      <a:graphic xmlns:a="http://schemas.openxmlformats.org/drawingml/2006/main">
                        <a:graphicData uri="http://schemas.microsoft.com/office/word/2010/wordprocessingShape">
                          <wps:wsp>
                            <wps:cNvCnPr/>
                            <wps:spPr>
                              <a:xfrm>
                                <a:off x="0" y="0"/>
                                <a:ext cx="2114550" cy="1104900"/>
                              </a:xfrm>
                              <a:prstGeom prst="straightConnector1">
                                <a:avLst/>
                              </a:prstGeom>
                              <a:ln w="5715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_x0000_s1026" o:spid="_x0000_s1026" o:spt="32" type="#_x0000_t32" style="position:absolute;left:0pt;margin-left:164.2pt;margin-top:231.1pt;height:87pt;width:166.5pt;z-index:251660288;mso-width-relative:page;mso-height-relative:page;" filled="f" stroked="t" coordsize="21600,21600" o:gfxdata="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O6ZRTXZAAAACwEAAA8AAAAAAAAAAQAgAAAAIgAAAGRycy9kb3ducmV2LnhtbFBLAQIU&#10;ABQAAAAIAIdO4kCxXHkJKwIAABkEAAAOAAAAAAAAAAEAIAAAACgBAABkcnMvZTJvRG9jLnhtbFBL&#10;BQYAAAAABgAGAFkBAADFBQAAAAA=&#10;">
                      <v:fill on="f" focussize="0,0"/>
                      <v:stroke weight="4.5pt" color="#BE4B48 [3205]" joinstyle="round" endarrow="block"/>
                      <v:imagedata o:title=""/>
                      <o:lock v:ext="edit" aspectratio="f"/>
                    </v:shape>
                  </w:pict>
                </mc:Fallback>
              </mc:AlternateContent>
            </w:r>
            <w:r>
              <w:rPr>
                <w:rFonts w:cs="Times New Roman"/>
                <w:b/>
                <w:lang w:eastAsia="ru-RU"/>
              </w:rPr>
              <w:drawing>
                <wp:inline distT="0" distB="0" distL="0" distR="0">
                  <wp:extent cx="4222750" cy="3257550"/>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pic:cNvPicPr>
                        </pic:nvPicPr>
                        <pic:blipFill>
                          <a:blip r:embed="rId17"/>
                          <a:stretch>
                            <a:fillRect/>
                          </a:stretch>
                        </pic:blipFill>
                        <pic:spPr>
                          <a:xfrm>
                            <a:off x="0" y="0"/>
                            <a:ext cx="4259237" cy="3285456"/>
                          </a:xfrm>
                          <a:prstGeom prst="rect">
                            <a:avLst/>
                          </a:prstGeom>
                        </pic:spPr>
                      </pic:pic>
                    </a:graphicData>
                  </a:graphic>
                </wp:inline>
              </w:drawing>
            </w:r>
          </w:p>
          <w:p w14:paraId="1D30A9AB">
            <w:pPr>
              <w:spacing w:line="240" w:lineRule="auto"/>
              <w:rPr>
                <w:b/>
                <w:lang w:eastAsia="ru-RU"/>
              </w:rPr>
            </w:pPr>
          </w:p>
          <w:p w14:paraId="2E7F9DE8">
            <w:pPr>
              <w:spacing w:line="240" w:lineRule="auto"/>
              <w:rPr>
                <w:b/>
                <w:lang w:eastAsia="ru-RU"/>
              </w:rPr>
            </w:pPr>
          </w:p>
          <w:p w14:paraId="693BE2D9">
            <w:pPr>
              <w:spacing w:line="240" w:lineRule="auto"/>
              <w:rPr>
                <w:b/>
                <w:lang w:eastAsia="ru-RU"/>
              </w:rPr>
            </w:pPr>
          </w:p>
          <w:p w14:paraId="36E82C37">
            <w:pPr>
              <w:spacing w:line="240" w:lineRule="auto"/>
              <w:rPr>
                <w:b/>
                <w:lang w:eastAsia="ru-RU"/>
              </w:rPr>
            </w:pPr>
          </w:p>
          <w:p w14:paraId="00BED272">
            <w:pPr>
              <w:spacing w:line="240" w:lineRule="auto"/>
              <w:rPr>
                <w:b/>
                <w:lang w:eastAsia="ru-RU"/>
              </w:rPr>
            </w:pPr>
          </w:p>
          <w:p w14:paraId="1A4F4971">
            <w:pPr>
              <w:spacing w:line="240" w:lineRule="auto"/>
              <w:rPr>
                <w:b/>
                <w:lang w:eastAsia="ru-RU"/>
              </w:rPr>
            </w:pPr>
          </w:p>
          <w:p w14:paraId="5C2418AE">
            <w:pPr>
              <w:spacing w:line="240" w:lineRule="auto"/>
              <w:rPr>
                <w:b/>
                <w:lang w:eastAsia="ru-RU"/>
              </w:rPr>
            </w:pPr>
          </w:p>
          <w:p w14:paraId="2AF97039">
            <w:pPr>
              <w:tabs>
                <w:tab w:val="left" w:pos="1014"/>
              </w:tabs>
              <w:spacing w:line="240" w:lineRule="auto"/>
              <w:rPr>
                <w:b/>
                <w:lang w:eastAsia="ru-RU"/>
              </w:rPr>
            </w:pPr>
            <w:r>
              <w:rPr>
                <w:b/>
                <w:lang w:eastAsia="ru-RU"/>
              </w:rPr>
              <w:tab/>
            </w:r>
          </w:p>
        </w:tc>
        <w:tc>
          <w:tcPr>
            <w:tcW w:w="5916" w:type="dxa"/>
          </w:tcPr>
          <w:p w14:paraId="35C6AB43">
            <w:pPr>
              <w:spacing w:line="240" w:lineRule="auto"/>
              <w:jc w:val="right"/>
              <w:rPr>
                <w:b/>
                <w:lang w:eastAsia="ru-RU"/>
              </w:rPr>
            </w:pPr>
            <w:r>
              <w:rPr>
                <w:rFonts w:cs="Times New Roman"/>
                <w:b/>
                <w:lang w:eastAsia="ru-RU"/>
              </w:rPr>
              <mc:AlternateContent>
                <mc:Choice Requires="wps">
                  <w:drawing>
                    <wp:anchor distT="0" distB="0" distL="114300" distR="114300" simplePos="0" relativeHeight="251659264" behindDoc="0" locked="0" layoutInCell="1" allowOverlap="1">
                      <wp:simplePos x="0" y="0"/>
                      <wp:positionH relativeFrom="column">
                        <wp:posOffset>-531495</wp:posOffset>
                      </wp:positionH>
                      <wp:positionV relativeFrom="paragraph">
                        <wp:posOffset>3931285</wp:posOffset>
                      </wp:positionV>
                      <wp:extent cx="2047875" cy="152400"/>
                      <wp:effectExtent l="19050" t="76200" r="47625" b="152400"/>
                      <wp:wrapNone/>
                      <wp:docPr id="12" name="Прямая со стрелкой 12"/>
                      <wp:cNvGraphicFramePr/>
                      <a:graphic xmlns:a="http://schemas.openxmlformats.org/drawingml/2006/main">
                        <a:graphicData uri="http://schemas.microsoft.com/office/word/2010/wordprocessingShape">
                          <wps:wsp>
                            <wps:cNvCnPr/>
                            <wps:spPr>
                              <a:xfrm>
                                <a:off x="0" y="0"/>
                                <a:ext cx="2047875" cy="152400"/>
                              </a:xfrm>
                              <a:prstGeom prst="straightConnector1">
                                <a:avLst/>
                              </a:prstGeom>
                              <a:ln w="7620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_x0000_s1026" o:spid="_x0000_s1026" o:spt="32" type="#_x0000_t32" style="position:absolute;left:0pt;margin-left:-41.85pt;margin-top:309.55pt;height:12pt;width:161.25pt;z-index:251659264;mso-width-relative:page;mso-height-relative:page;" filled="f" stroked="t" coordsize="21600,21600" o:gfxdata="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PEOpB2gAAAAsBAAAPAAAAAAAAAAEAIAAAACIAAABkcnMvZG93bnJldi54bWxQSwEC&#10;FAAUAAAACACHTuJAGxu3kSsCAAAYBAAADgAAAAAAAAABACAAAAApAQAAZHJzL2Uyb0RvYy54bWxQ&#10;SwUGAAAAAAYABgBZAQAAxgUAAAAA&#10;">
                      <v:fill on="f" focussize="0,0"/>
                      <v:stroke weight="6pt" color="#BE4B48 [3205]" joinstyle="round" endarrow="block"/>
                      <v:imagedata o:title=""/>
                      <o:lock v:ext="edit" aspectratio="f"/>
                    </v:shape>
                  </w:pict>
                </mc:Fallback>
              </mc:AlternateContent>
            </w:r>
            <w:r>
              <w:rPr>
                <w:b/>
                <w:lang w:eastAsia="ru-RU"/>
              </w:rPr>
              <w:drawing>
                <wp:inline distT="0" distB="0" distL="0" distR="0">
                  <wp:extent cx="3600450" cy="2638425"/>
                  <wp:effectExtent l="0" t="0" r="0" b="9525"/>
                  <wp:docPr id="8" name="Рисунок 8" descr="C:\Users\prep\Downloads\1760479194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C:\Users\prep\Downloads\176047919495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3600450" cy="2638425"/>
                          </a:xfrm>
                          <a:prstGeom prst="rect">
                            <a:avLst/>
                          </a:prstGeom>
                          <a:noFill/>
                          <a:ln>
                            <a:noFill/>
                          </a:ln>
                        </pic:spPr>
                      </pic:pic>
                    </a:graphicData>
                  </a:graphic>
                </wp:inline>
              </w:drawing>
            </w:r>
          </w:p>
        </w:tc>
      </w:tr>
      <w:tr w14:paraId="41092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11" w:type="dxa"/>
            <w:vMerge w:val="continue"/>
          </w:tcPr>
          <w:p w14:paraId="1D2FF1AB">
            <w:pPr>
              <w:spacing w:line="240" w:lineRule="auto"/>
              <w:jc w:val="both"/>
              <w:rPr>
                <w:lang w:eastAsia="ru-RU"/>
              </w:rPr>
            </w:pPr>
          </w:p>
        </w:tc>
        <w:tc>
          <w:tcPr>
            <w:tcW w:w="5916" w:type="dxa"/>
          </w:tcPr>
          <w:p w14:paraId="702CD9A5">
            <w:pPr>
              <w:spacing w:line="240" w:lineRule="auto"/>
              <w:jc w:val="both"/>
              <w:rPr>
                <w:lang w:eastAsia="ru-RU"/>
              </w:rPr>
            </w:pPr>
            <w:r>
              <w:rPr>
                <w:lang w:eastAsia="ru-RU"/>
              </w:rPr>
              <w:drawing>
                <wp:inline distT="0" distB="0" distL="0" distR="0">
                  <wp:extent cx="3609975" cy="311467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pic:cNvPicPr>
                        </pic:nvPicPr>
                        <pic:blipFill>
                          <a:blip r:embed="rId19"/>
                          <a:stretch>
                            <a:fillRect/>
                          </a:stretch>
                        </pic:blipFill>
                        <pic:spPr>
                          <a:xfrm>
                            <a:off x="0" y="0"/>
                            <a:ext cx="3609975" cy="3114675"/>
                          </a:xfrm>
                          <a:prstGeom prst="rect">
                            <a:avLst/>
                          </a:prstGeom>
                        </pic:spPr>
                      </pic:pic>
                    </a:graphicData>
                  </a:graphic>
                </wp:inline>
              </w:drawing>
            </w:r>
          </w:p>
        </w:tc>
      </w:tr>
      <w:tr w14:paraId="786A4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0" w:hRule="atLeast"/>
        </w:trPr>
        <w:tc>
          <w:tcPr>
            <w:tcW w:w="3711" w:type="dxa"/>
            <w:vMerge w:val="continue"/>
          </w:tcPr>
          <w:p w14:paraId="78A2DDF9">
            <w:pPr>
              <w:spacing w:line="240" w:lineRule="auto"/>
              <w:jc w:val="both"/>
              <w:rPr>
                <w:lang w:eastAsia="ru-RU"/>
              </w:rPr>
            </w:pPr>
          </w:p>
        </w:tc>
        <w:tc>
          <w:tcPr>
            <w:tcW w:w="5916" w:type="dxa"/>
          </w:tcPr>
          <w:p w14:paraId="0605794D">
            <w:pPr>
              <w:pStyle w:val="14"/>
            </w:pPr>
            <w:r>
              <w:drawing>
                <wp:inline distT="0" distB="0" distL="0" distR="0">
                  <wp:extent cx="3609975" cy="21431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pic:cNvPicPr>
                        </pic:nvPicPr>
                        <pic:blipFill>
                          <a:blip r:embed="rId20"/>
                          <a:stretch>
                            <a:fillRect/>
                          </a:stretch>
                        </pic:blipFill>
                        <pic:spPr>
                          <a:xfrm>
                            <a:off x="0" y="0"/>
                            <a:ext cx="3610499" cy="2143436"/>
                          </a:xfrm>
                          <a:prstGeom prst="rect">
                            <a:avLst/>
                          </a:prstGeom>
                        </pic:spPr>
                      </pic:pic>
                    </a:graphicData>
                  </a:graphic>
                </wp:inline>
              </w:drawing>
            </w:r>
          </w:p>
        </w:tc>
      </w:tr>
    </w:tbl>
    <w:p w14:paraId="47BC3E6C">
      <w:pPr>
        <w:spacing w:line="240" w:lineRule="auto"/>
        <w:ind w:firstLine="708"/>
        <w:jc w:val="both"/>
        <w:rPr>
          <w:rFonts w:cs="Times New Roman"/>
        </w:rPr>
      </w:pPr>
      <w:r>
        <w:rPr>
          <w:rFonts w:cs="Times New Roman"/>
        </w:rPr>
        <w:t xml:space="preserve">Рис. 10. Расположение опытных участков. Участок №1 – модельный: заложенный нами опыт с травосмесью на склоне; участок №2 – городской газон на склоне (контроль); участок №3 – рулонный газон во дворе. </w:t>
      </w:r>
    </w:p>
    <w:p w14:paraId="5B4869A9">
      <w:pPr>
        <w:spacing w:line="240" w:lineRule="auto"/>
        <w:ind w:firstLine="708"/>
        <w:jc w:val="both"/>
        <w:rPr>
          <w:rFonts w:cs="Times New Roman"/>
        </w:rPr>
      </w:pPr>
    </w:p>
    <w:p w14:paraId="1E32F4DC">
      <w:pPr>
        <w:spacing w:line="240" w:lineRule="auto"/>
        <w:ind w:firstLine="708"/>
        <w:jc w:val="both"/>
        <w:rPr>
          <w:rFonts w:cs="Times New Roman"/>
        </w:rPr>
      </w:pPr>
      <w:r>
        <w:rPr>
          <w:rFonts w:cs="Times New Roman"/>
        </w:rPr>
        <w:t xml:space="preserve">Анализ данных по потоку углерода показаны в табл. 2. Видно, что только на модельном участке №1 (созданное нами растительное сообщество) </w:t>
      </w:r>
      <w:r>
        <w:rPr>
          <w:rFonts w:cs="Times New Roman"/>
          <w:lang w:val="en-US"/>
        </w:rPr>
        <w:t>CO</w:t>
      </w:r>
      <w:r>
        <w:rPr>
          <w:rFonts w:cs="Times New Roman"/>
        </w:rPr>
        <w:t xml:space="preserve">2 поглощалось больше, чем выделялось. Для растительного сообщества на склоне (городской газон) участка №2 характерно превышения объема выделения над объемом поглощения. Средние показатели характерны для  участка № 3 с рулонным газоном. </w:t>
      </w:r>
    </w:p>
    <w:p w14:paraId="1A4FD1D2">
      <w:pPr>
        <w:spacing w:line="240" w:lineRule="auto"/>
        <w:ind w:firstLine="708"/>
        <w:jc w:val="both"/>
        <w:rPr>
          <w:rFonts w:cs="Times New Roman"/>
        </w:rPr>
      </w:pPr>
    </w:p>
    <w:p w14:paraId="1377F297">
      <w:pPr>
        <w:ind w:firstLine="708"/>
        <w:jc w:val="right"/>
        <w:rPr>
          <w:rFonts w:cs="Times New Roman"/>
          <w:bCs/>
        </w:rPr>
      </w:pPr>
      <w:r>
        <w:rPr>
          <w:rFonts w:cs="Times New Roman"/>
          <w:bCs/>
        </w:rPr>
        <w:t>Таблица 2</w:t>
      </w:r>
    </w:p>
    <w:p w14:paraId="709807C3">
      <w:pPr>
        <w:ind w:firstLine="708"/>
        <w:jc w:val="center"/>
        <w:rPr>
          <w:rFonts w:cs="Times New Roman"/>
          <w:bCs/>
        </w:rPr>
      </w:pPr>
      <w:r>
        <w:rPr>
          <w:rFonts w:cs="Times New Roman"/>
          <w:bCs/>
        </w:rPr>
        <w:t xml:space="preserve">Показатели потока </w:t>
      </w:r>
      <w:r>
        <w:rPr>
          <w:rFonts w:eastAsia="Times New Roman" w:cs="Times New Roman"/>
          <w:color w:val="000000"/>
          <w:sz w:val="24"/>
          <w:szCs w:val="24"/>
          <w:lang w:eastAsia="ru-RU"/>
        </w:rPr>
        <w:t>CО2</w:t>
      </w:r>
      <w:r>
        <w:rPr>
          <w:rFonts w:cs="Times New Roman"/>
          <w:bCs/>
        </w:rPr>
        <w:t xml:space="preserve"> за 1 час трех модельных участков (мг\м</w:t>
      </w:r>
      <w:r>
        <w:rPr>
          <w:rFonts w:cs="Times New Roman"/>
          <w:bCs/>
          <w:vertAlign w:val="superscript"/>
        </w:rPr>
        <w:t>2</w:t>
      </w:r>
      <w:r>
        <w:rPr>
          <w:rFonts w:cs="Times New Roman"/>
          <w:bCs/>
        </w:rPr>
        <w:t xml:space="preserve">) </w:t>
      </w:r>
    </w:p>
    <w:tbl>
      <w:tblPr>
        <w:tblStyle w:val="3"/>
        <w:tblW w:w="1020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2"/>
        <w:gridCol w:w="998"/>
        <w:gridCol w:w="2977"/>
        <w:gridCol w:w="1417"/>
        <w:gridCol w:w="1276"/>
        <w:gridCol w:w="2551"/>
      </w:tblGrid>
      <w:tr w14:paraId="1969B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6" w:hRule="atLeast"/>
        </w:trPr>
        <w:tc>
          <w:tcPr>
            <w:tcW w:w="982" w:type="dxa"/>
          </w:tcPr>
          <w:p w14:paraId="4B994305">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 замера</w:t>
            </w:r>
          </w:p>
        </w:tc>
        <w:tc>
          <w:tcPr>
            <w:tcW w:w="998" w:type="dxa"/>
            <w:shd w:val="clear" w:color="auto" w:fill="auto"/>
            <w:noWrap/>
            <w:vAlign w:val="bottom"/>
          </w:tcPr>
          <w:p w14:paraId="59C96AA1">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 участка</w:t>
            </w:r>
          </w:p>
        </w:tc>
        <w:tc>
          <w:tcPr>
            <w:tcW w:w="2977" w:type="dxa"/>
            <w:shd w:val="clear" w:color="auto" w:fill="auto"/>
            <w:noWrap/>
            <w:vAlign w:val="bottom"/>
          </w:tcPr>
          <w:p w14:paraId="23BA8E85">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Сообщество / местообитание</w:t>
            </w:r>
          </w:p>
        </w:tc>
        <w:tc>
          <w:tcPr>
            <w:tcW w:w="1417" w:type="dxa"/>
            <w:shd w:val="clear" w:color="auto" w:fill="auto"/>
            <w:noWrap/>
            <w:vAlign w:val="bottom"/>
          </w:tcPr>
          <w:p w14:paraId="44E5A441">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CО2 (день)</w:t>
            </w:r>
          </w:p>
        </w:tc>
        <w:tc>
          <w:tcPr>
            <w:tcW w:w="1276" w:type="dxa"/>
            <w:shd w:val="clear" w:color="auto" w:fill="auto"/>
            <w:noWrap/>
            <w:vAlign w:val="bottom"/>
          </w:tcPr>
          <w:p w14:paraId="33BCF784">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CО2 (ночь)</w:t>
            </w:r>
          </w:p>
        </w:tc>
        <w:tc>
          <w:tcPr>
            <w:tcW w:w="2551" w:type="dxa"/>
            <w:shd w:val="clear" w:color="auto" w:fill="auto"/>
            <w:noWrap/>
            <w:vAlign w:val="bottom"/>
          </w:tcPr>
          <w:p w14:paraId="58DCCA58">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Итог по CО2</w:t>
            </w:r>
          </w:p>
          <w:p w14:paraId="5EDF3EB7">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(Разница между дневной и ночной фазой)</w:t>
            </w:r>
          </w:p>
        </w:tc>
      </w:tr>
      <w:tr w14:paraId="74391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82" w:type="dxa"/>
            <w:shd w:val="clear" w:color="auto" w:fill="auto"/>
          </w:tcPr>
          <w:p w14:paraId="2CEBE829">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1</w:t>
            </w:r>
          </w:p>
        </w:tc>
        <w:tc>
          <w:tcPr>
            <w:tcW w:w="998" w:type="dxa"/>
            <w:shd w:val="clear" w:color="auto" w:fill="auto"/>
            <w:noWrap/>
            <w:vAlign w:val="bottom"/>
          </w:tcPr>
          <w:p w14:paraId="70180A0A">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1</w:t>
            </w:r>
          </w:p>
        </w:tc>
        <w:tc>
          <w:tcPr>
            <w:tcW w:w="2977" w:type="dxa"/>
            <w:shd w:val="clear" w:color="auto" w:fill="auto"/>
            <w:noWrap/>
            <w:vAlign w:val="bottom"/>
          </w:tcPr>
          <w:p w14:paraId="4BF4ACA9">
            <w:pPr>
              <w:spacing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Травосмесь/ склон</w:t>
            </w:r>
          </w:p>
        </w:tc>
        <w:tc>
          <w:tcPr>
            <w:tcW w:w="1417" w:type="dxa"/>
            <w:shd w:val="clear" w:color="auto" w:fill="auto"/>
            <w:noWrap/>
            <w:vAlign w:val="bottom"/>
          </w:tcPr>
          <w:p w14:paraId="1BC9A354">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-935.15</w:t>
            </w:r>
          </w:p>
        </w:tc>
        <w:tc>
          <w:tcPr>
            <w:tcW w:w="1276" w:type="dxa"/>
            <w:shd w:val="clear" w:color="auto" w:fill="auto"/>
            <w:noWrap/>
            <w:vAlign w:val="bottom"/>
          </w:tcPr>
          <w:p w14:paraId="76A45544">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782.97</w:t>
            </w:r>
          </w:p>
        </w:tc>
        <w:tc>
          <w:tcPr>
            <w:tcW w:w="2551" w:type="dxa"/>
            <w:shd w:val="clear" w:color="auto" w:fill="auto"/>
            <w:noWrap/>
            <w:vAlign w:val="bottom"/>
          </w:tcPr>
          <w:p w14:paraId="403E09C7">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-152.18</w:t>
            </w:r>
          </w:p>
        </w:tc>
      </w:tr>
      <w:tr w14:paraId="7CE72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82" w:type="dxa"/>
            <w:shd w:val="clear" w:color="auto" w:fill="auto"/>
          </w:tcPr>
          <w:p w14:paraId="314162D7">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2</w:t>
            </w:r>
          </w:p>
        </w:tc>
        <w:tc>
          <w:tcPr>
            <w:tcW w:w="998" w:type="dxa"/>
            <w:shd w:val="clear" w:color="auto" w:fill="auto"/>
            <w:noWrap/>
            <w:vAlign w:val="bottom"/>
          </w:tcPr>
          <w:p w14:paraId="2168AF36">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1</w:t>
            </w:r>
          </w:p>
        </w:tc>
        <w:tc>
          <w:tcPr>
            <w:tcW w:w="2977" w:type="dxa"/>
            <w:shd w:val="clear" w:color="auto" w:fill="auto"/>
            <w:noWrap/>
            <w:vAlign w:val="bottom"/>
          </w:tcPr>
          <w:p w14:paraId="2BB805B7">
            <w:pPr>
              <w:spacing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Травосмесь/ склон</w:t>
            </w:r>
          </w:p>
        </w:tc>
        <w:tc>
          <w:tcPr>
            <w:tcW w:w="1417" w:type="dxa"/>
            <w:shd w:val="clear" w:color="auto" w:fill="auto"/>
            <w:noWrap/>
            <w:vAlign w:val="bottom"/>
          </w:tcPr>
          <w:p w14:paraId="76112113">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-879.66</w:t>
            </w:r>
          </w:p>
        </w:tc>
        <w:tc>
          <w:tcPr>
            <w:tcW w:w="1276" w:type="dxa"/>
            <w:shd w:val="clear" w:color="auto" w:fill="auto"/>
            <w:noWrap/>
            <w:vAlign w:val="bottom"/>
          </w:tcPr>
          <w:p w14:paraId="688E5488">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745.58</w:t>
            </w:r>
          </w:p>
        </w:tc>
        <w:tc>
          <w:tcPr>
            <w:tcW w:w="2551" w:type="dxa"/>
            <w:shd w:val="clear" w:color="auto" w:fill="auto"/>
            <w:noWrap/>
            <w:vAlign w:val="bottom"/>
          </w:tcPr>
          <w:p w14:paraId="5B674F18">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-134.07</w:t>
            </w:r>
          </w:p>
        </w:tc>
      </w:tr>
      <w:tr w14:paraId="7580D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82" w:type="dxa"/>
            <w:shd w:val="clear" w:color="auto" w:fill="auto"/>
          </w:tcPr>
          <w:p w14:paraId="082ADFA0">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3</w:t>
            </w:r>
          </w:p>
        </w:tc>
        <w:tc>
          <w:tcPr>
            <w:tcW w:w="998" w:type="dxa"/>
            <w:shd w:val="clear" w:color="auto" w:fill="auto"/>
            <w:noWrap/>
            <w:vAlign w:val="bottom"/>
          </w:tcPr>
          <w:p w14:paraId="16B88AB9">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1</w:t>
            </w:r>
          </w:p>
        </w:tc>
        <w:tc>
          <w:tcPr>
            <w:tcW w:w="2977" w:type="dxa"/>
            <w:shd w:val="clear" w:color="auto" w:fill="auto"/>
            <w:noWrap/>
            <w:vAlign w:val="bottom"/>
          </w:tcPr>
          <w:p w14:paraId="3D919E90">
            <w:pPr>
              <w:spacing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Травосмесь/ склон</w:t>
            </w:r>
          </w:p>
        </w:tc>
        <w:tc>
          <w:tcPr>
            <w:tcW w:w="1417" w:type="dxa"/>
            <w:shd w:val="clear" w:color="auto" w:fill="auto"/>
            <w:noWrap/>
            <w:vAlign w:val="bottom"/>
          </w:tcPr>
          <w:p w14:paraId="437D68AA">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-861.69</w:t>
            </w:r>
          </w:p>
        </w:tc>
        <w:tc>
          <w:tcPr>
            <w:tcW w:w="1276" w:type="dxa"/>
            <w:shd w:val="clear" w:color="auto" w:fill="auto"/>
            <w:noWrap/>
            <w:vAlign w:val="bottom"/>
          </w:tcPr>
          <w:p w14:paraId="7C96264E">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725.03</w:t>
            </w:r>
          </w:p>
        </w:tc>
        <w:tc>
          <w:tcPr>
            <w:tcW w:w="2551" w:type="dxa"/>
            <w:shd w:val="clear" w:color="auto" w:fill="auto"/>
            <w:noWrap/>
            <w:vAlign w:val="bottom"/>
          </w:tcPr>
          <w:p w14:paraId="6D979431">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-136.66</w:t>
            </w:r>
          </w:p>
        </w:tc>
      </w:tr>
      <w:tr w14:paraId="3741D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980" w:type="dxa"/>
            <w:gridSpan w:val="2"/>
            <w:shd w:val="clear" w:color="auto" w:fill="BEBEBE" w:themeFill="background1" w:themeFillShade="BF"/>
          </w:tcPr>
          <w:p w14:paraId="7A5DC691">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Среднее</w:t>
            </w:r>
          </w:p>
        </w:tc>
        <w:tc>
          <w:tcPr>
            <w:tcW w:w="2977" w:type="dxa"/>
            <w:shd w:val="clear" w:color="auto" w:fill="BEBEBE" w:themeFill="background1" w:themeFillShade="BF"/>
            <w:noWrap/>
            <w:vAlign w:val="bottom"/>
          </w:tcPr>
          <w:p w14:paraId="58A1F898">
            <w:pPr>
              <w:spacing w:line="240" w:lineRule="auto"/>
              <w:rPr>
                <w:rFonts w:eastAsia="Times New Roman" w:cs="Times New Roman"/>
                <w:color w:val="000000"/>
                <w:sz w:val="24"/>
                <w:szCs w:val="24"/>
                <w:lang w:eastAsia="ru-RU"/>
              </w:rPr>
            </w:pPr>
          </w:p>
        </w:tc>
        <w:tc>
          <w:tcPr>
            <w:tcW w:w="1417" w:type="dxa"/>
            <w:shd w:val="clear" w:color="auto" w:fill="BEBEBE" w:themeFill="background1" w:themeFillShade="BF"/>
            <w:noWrap/>
            <w:vAlign w:val="bottom"/>
          </w:tcPr>
          <w:p w14:paraId="6D94A24E">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-892,17</w:t>
            </w:r>
          </w:p>
        </w:tc>
        <w:tc>
          <w:tcPr>
            <w:tcW w:w="1276" w:type="dxa"/>
            <w:shd w:val="clear" w:color="auto" w:fill="BEBEBE" w:themeFill="background1" w:themeFillShade="BF"/>
            <w:noWrap/>
            <w:vAlign w:val="bottom"/>
          </w:tcPr>
          <w:p w14:paraId="3C0D13F5">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751,19</w:t>
            </w:r>
          </w:p>
        </w:tc>
        <w:tc>
          <w:tcPr>
            <w:tcW w:w="2551" w:type="dxa"/>
            <w:shd w:val="clear" w:color="auto" w:fill="BEBEBE" w:themeFill="background1" w:themeFillShade="BF"/>
            <w:noWrap/>
            <w:vAlign w:val="bottom"/>
          </w:tcPr>
          <w:p w14:paraId="528215F9">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150,98</w:t>
            </w:r>
          </w:p>
        </w:tc>
      </w:tr>
      <w:tr w14:paraId="7F984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82" w:type="dxa"/>
            <w:shd w:val="clear" w:color="auto" w:fill="auto"/>
          </w:tcPr>
          <w:p w14:paraId="0A0837A5">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1</w:t>
            </w:r>
          </w:p>
        </w:tc>
        <w:tc>
          <w:tcPr>
            <w:tcW w:w="998" w:type="dxa"/>
            <w:shd w:val="clear" w:color="auto" w:fill="auto"/>
            <w:noWrap/>
            <w:vAlign w:val="bottom"/>
          </w:tcPr>
          <w:p w14:paraId="57AB7B8C">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2</w:t>
            </w:r>
          </w:p>
        </w:tc>
        <w:tc>
          <w:tcPr>
            <w:tcW w:w="2977" w:type="dxa"/>
            <w:shd w:val="clear" w:color="auto" w:fill="auto"/>
            <w:noWrap/>
            <w:vAlign w:val="bottom"/>
          </w:tcPr>
          <w:p w14:paraId="6F6D5355">
            <w:pPr>
              <w:spacing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Городской газон/ склон</w:t>
            </w:r>
          </w:p>
        </w:tc>
        <w:tc>
          <w:tcPr>
            <w:tcW w:w="1417" w:type="dxa"/>
            <w:shd w:val="clear" w:color="auto" w:fill="auto"/>
            <w:noWrap/>
            <w:vAlign w:val="bottom"/>
          </w:tcPr>
          <w:p w14:paraId="05578F73">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44.61</w:t>
            </w:r>
          </w:p>
        </w:tc>
        <w:tc>
          <w:tcPr>
            <w:tcW w:w="1276" w:type="dxa"/>
            <w:shd w:val="clear" w:color="auto" w:fill="auto"/>
            <w:noWrap/>
            <w:vAlign w:val="bottom"/>
          </w:tcPr>
          <w:p w14:paraId="711F9461">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587.58</w:t>
            </w:r>
          </w:p>
        </w:tc>
        <w:tc>
          <w:tcPr>
            <w:tcW w:w="2551" w:type="dxa"/>
            <w:shd w:val="clear" w:color="auto" w:fill="auto"/>
            <w:noWrap/>
            <w:vAlign w:val="bottom"/>
          </w:tcPr>
          <w:p w14:paraId="15D7D0F5">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632.19</w:t>
            </w:r>
          </w:p>
        </w:tc>
      </w:tr>
      <w:tr w14:paraId="2AA21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82" w:type="dxa"/>
            <w:shd w:val="clear" w:color="auto" w:fill="auto"/>
          </w:tcPr>
          <w:p w14:paraId="6D6B215F">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2</w:t>
            </w:r>
          </w:p>
        </w:tc>
        <w:tc>
          <w:tcPr>
            <w:tcW w:w="998" w:type="dxa"/>
            <w:shd w:val="clear" w:color="auto" w:fill="auto"/>
            <w:noWrap/>
            <w:vAlign w:val="bottom"/>
          </w:tcPr>
          <w:p w14:paraId="137CFA10">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2</w:t>
            </w:r>
          </w:p>
        </w:tc>
        <w:tc>
          <w:tcPr>
            <w:tcW w:w="2977" w:type="dxa"/>
            <w:shd w:val="clear" w:color="auto" w:fill="auto"/>
            <w:noWrap/>
            <w:vAlign w:val="bottom"/>
          </w:tcPr>
          <w:p w14:paraId="24E3F2E3">
            <w:pPr>
              <w:spacing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Городской газон/ склон</w:t>
            </w:r>
          </w:p>
        </w:tc>
        <w:tc>
          <w:tcPr>
            <w:tcW w:w="1417" w:type="dxa"/>
            <w:shd w:val="clear" w:color="auto" w:fill="auto"/>
            <w:noWrap/>
            <w:vAlign w:val="bottom"/>
          </w:tcPr>
          <w:p w14:paraId="113BC3AE">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78.82</w:t>
            </w:r>
          </w:p>
        </w:tc>
        <w:tc>
          <w:tcPr>
            <w:tcW w:w="1276" w:type="dxa"/>
            <w:shd w:val="clear" w:color="auto" w:fill="auto"/>
            <w:noWrap/>
            <w:vAlign w:val="bottom"/>
          </w:tcPr>
          <w:p w14:paraId="7EE412D0">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632.42</w:t>
            </w:r>
          </w:p>
        </w:tc>
        <w:tc>
          <w:tcPr>
            <w:tcW w:w="2551" w:type="dxa"/>
            <w:shd w:val="clear" w:color="auto" w:fill="auto"/>
            <w:noWrap/>
            <w:vAlign w:val="bottom"/>
          </w:tcPr>
          <w:p w14:paraId="67DF5E3F">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711.24</w:t>
            </w:r>
          </w:p>
        </w:tc>
      </w:tr>
      <w:tr w14:paraId="2EB41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82" w:type="dxa"/>
            <w:shd w:val="clear" w:color="auto" w:fill="auto"/>
          </w:tcPr>
          <w:p w14:paraId="68FDFBD2">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3</w:t>
            </w:r>
          </w:p>
        </w:tc>
        <w:tc>
          <w:tcPr>
            <w:tcW w:w="998" w:type="dxa"/>
            <w:shd w:val="clear" w:color="auto" w:fill="auto"/>
            <w:noWrap/>
            <w:vAlign w:val="bottom"/>
          </w:tcPr>
          <w:p w14:paraId="6AF9270C">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2</w:t>
            </w:r>
          </w:p>
        </w:tc>
        <w:tc>
          <w:tcPr>
            <w:tcW w:w="2977" w:type="dxa"/>
            <w:shd w:val="clear" w:color="auto" w:fill="auto"/>
            <w:noWrap/>
            <w:vAlign w:val="bottom"/>
          </w:tcPr>
          <w:p w14:paraId="6DB60326">
            <w:pPr>
              <w:spacing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Городской газон/ склон</w:t>
            </w:r>
          </w:p>
        </w:tc>
        <w:tc>
          <w:tcPr>
            <w:tcW w:w="1417" w:type="dxa"/>
            <w:shd w:val="clear" w:color="auto" w:fill="auto"/>
            <w:noWrap/>
            <w:vAlign w:val="bottom"/>
          </w:tcPr>
          <w:p w14:paraId="113C2196">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234.98</w:t>
            </w:r>
          </w:p>
        </w:tc>
        <w:tc>
          <w:tcPr>
            <w:tcW w:w="1276" w:type="dxa"/>
            <w:shd w:val="clear" w:color="auto" w:fill="auto"/>
            <w:noWrap/>
            <w:vAlign w:val="bottom"/>
          </w:tcPr>
          <w:p w14:paraId="347F0637">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432.22</w:t>
            </w:r>
          </w:p>
        </w:tc>
        <w:tc>
          <w:tcPr>
            <w:tcW w:w="2551" w:type="dxa"/>
            <w:shd w:val="clear" w:color="auto" w:fill="auto"/>
            <w:noWrap/>
            <w:vAlign w:val="bottom"/>
          </w:tcPr>
          <w:p w14:paraId="6533DEEF">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667.20</w:t>
            </w:r>
          </w:p>
        </w:tc>
      </w:tr>
      <w:tr w14:paraId="0FA0B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980" w:type="dxa"/>
            <w:gridSpan w:val="2"/>
            <w:shd w:val="clear" w:color="auto" w:fill="D8D8D8" w:themeFill="background1" w:themeFillShade="D9"/>
          </w:tcPr>
          <w:p w14:paraId="10F85802">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Среднее</w:t>
            </w:r>
          </w:p>
        </w:tc>
        <w:tc>
          <w:tcPr>
            <w:tcW w:w="2977" w:type="dxa"/>
            <w:shd w:val="clear" w:color="auto" w:fill="D8D8D8" w:themeFill="background1" w:themeFillShade="D9"/>
            <w:noWrap/>
            <w:vAlign w:val="bottom"/>
          </w:tcPr>
          <w:p w14:paraId="092BCDB7">
            <w:pPr>
              <w:spacing w:line="240" w:lineRule="auto"/>
              <w:rPr>
                <w:rFonts w:eastAsia="Times New Roman" w:cs="Times New Roman"/>
                <w:color w:val="000000"/>
                <w:sz w:val="24"/>
                <w:szCs w:val="24"/>
                <w:lang w:eastAsia="ru-RU"/>
              </w:rPr>
            </w:pPr>
          </w:p>
        </w:tc>
        <w:tc>
          <w:tcPr>
            <w:tcW w:w="1417" w:type="dxa"/>
            <w:shd w:val="clear" w:color="auto" w:fill="D8D8D8" w:themeFill="background1" w:themeFillShade="D9"/>
            <w:noWrap/>
            <w:vAlign w:val="bottom"/>
          </w:tcPr>
          <w:p w14:paraId="0B37E228">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119,47</w:t>
            </w:r>
          </w:p>
        </w:tc>
        <w:tc>
          <w:tcPr>
            <w:tcW w:w="1276" w:type="dxa"/>
            <w:shd w:val="clear" w:color="auto" w:fill="D8D8D8" w:themeFill="background1" w:themeFillShade="D9"/>
            <w:noWrap/>
            <w:vAlign w:val="bottom"/>
          </w:tcPr>
          <w:p w14:paraId="1C59A893">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550,74</w:t>
            </w:r>
          </w:p>
        </w:tc>
        <w:tc>
          <w:tcPr>
            <w:tcW w:w="2551" w:type="dxa"/>
            <w:shd w:val="clear" w:color="auto" w:fill="D8D8D8" w:themeFill="background1" w:themeFillShade="D9"/>
            <w:noWrap/>
            <w:vAlign w:val="bottom"/>
          </w:tcPr>
          <w:p w14:paraId="067E9338">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670,21</w:t>
            </w:r>
          </w:p>
        </w:tc>
      </w:tr>
      <w:tr w14:paraId="17A21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82" w:type="dxa"/>
            <w:shd w:val="clear" w:color="auto" w:fill="auto"/>
          </w:tcPr>
          <w:p w14:paraId="635CDD51">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1</w:t>
            </w:r>
          </w:p>
        </w:tc>
        <w:tc>
          <w:tcPr>
            <w:tcW w:w="998" w:type="dxa"/>
            <w:shd w:val="clear" w:color="auto" w:fill="auto"/>
            <w:noWrap/>
            <w:vAlign w:val="bottom"/>
          </w:tcPr>
          <w:p w14:paraId="55200A80">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3</w:t>
            </w:r>
          </w:p>
        </w:tc>
        <w:tc>
          <w:tcPr>
            <w:tcW w:w="2977" w:type="dxa"/>
            <w:shd w:val="clear" w:color="auto" w:fill="auto"/>
            <w:noWrap/>
            <w:vAlign w:val="bottom"/>
          </w:tcPr>
          <w:p w14:paraId="72D7F2A1">
            <w:pPr>
              <w:spacing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Рулонный газон/двор</w:t>
            </w:r>
          </w:p>
        </w:tc>
        <w:tc>
          <w:tcPr>
            <w:tcW w:w="1417" w:type="dxa"/>
            <w:shd w:val="clear" w:color="auto" w:fill="auto"/>
            <w:noWrap/>
            <w:vAlign w:val="bottom"/>
          </w:tcPr>
          <w:p w14:paraId="5057BED0">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-210.93</w:t>
            </w:r>
          </w:p>
        </w:tc>
        <w:tc>
          <w:tcPr>
            <w:tcW w:w="1276" w:type="dxa"/>
            <w:shd w:val="clear" w:color="auto" w:fill="auto"/>
            <w:noWrap/>
            <w:vAlign w:val="bottom"/>
          </w:tcPr>
          <w:p w14:paraId="795BC268">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509.38</w:t>
            </w:r>
          </w:p>
        </w:tc>
        <w:tc>
          <w:tcPr>
            <w:tcW w:w="2551" w:type="dxa"/>
            <w:shd w:val="clear" w:color="auto" w:fill="auto"/>
            <w:noWrap/>
            <w:vAlign w:val="bottom"/>
          </w:tcPr>
          <w:p w14:paraId="4A17C215">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298.45</w:t>
            </w:r>
          </w:p>
        </w:tc>
      </w:tr>
      <w:tr w14:paraId="62BA9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82" w:type="dxa"/>
            <w:shd w:val="clear" w:color="auto" w:fill="auto"/>
          </w:tcPr>
          <w:p w14:paraId="4F3F0797">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2</w:t>
            </w:r>
          </w:p>
        </w:tc>
        <w:tc>
          <w:tcPr>
            <w:tcW w:w="998" w:type="dxa"/>
            <w:shd w:val="clear" w:color="auto" w:fill="auto"/>
            <w:noWrap/>
            <w:vAlign w:val="bottom"/>
          </w:tcPr>
          <w:p w14:paraId="0128D8AF">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3</w:t>
            </w:r>
          </w:p>
        </w:tc>
        <w:tc>
          <w:tcPr>
            <w:tcW w:w="2977" w:type="dxa"/>
            <w:shd w:val="clear" w:color="auto" w:fill="auto"/>
            <w:noWrap/>
            <w:vAlign w:val="bottom"/>
          </w:tcPr>
          <w:p w14:paraId="5821E15B">
            <w:pPr>
              <w:spacing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Рулонный газон/двор</w:t>
            </w:r>
          </w:p>
        </w:tc>
        <w:tc>
          <w:tcPr>
            <w:tcW w:w="1417" w:type="dxa"/>
            <w:shd w:val="clear" w:color="auto" w:fill="auto"/>
            <w:noWrap/>
            <w:vAlign w:val="bottom"/>
          </w:tcPr>
          <w:p w14:paraId="7162B9A0">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-251.37</w:t>
            </w:r>
          </w:p>
        </w:tc>
        <w:tc>
          <w:tcPr>
            <w:tcW w:w="1276" w:type="dxa"/>
            <w:shd w:val="clear" w:color="auto" w:fill="auto"/>
            <w:noWrap/>
            <w:vAlign w:val="bottom"/>
          </w:tcPr>
          <w:p w14:paraId="732F32F6">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500.76</w:t>
            </w:r>
          </w:p>
        </w:tc>
        <w:tc>
          <w:tcPr>
            <w:tcW w:w="2551" w:type="dxa"/>
            <w:shd w:val="clear" w:color="auto" w:fill="auto"/>
            <w:noWrap/>
            <w:vAlign w:val="bottom"/>
          </w:tcPr>
          <w:p w14:paraId="4FB91DCE">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249.39</w:t>
            </w:r>
          </w:p>
        </w:tc>
      </w:tr>
      <w:tr w14:paraId="559BC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82" w:type="dxa"/>
            <w:shd w:val="clear" w:color="auto" w:fill="auto"/>
          </w:tcPr>
          <w:p w14:paraId="68255FB2">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3</w:t>
            </w:r>
          </w:p>
        </w:tc>
        <w:tc>
          <w:tcPr>
            <w:tcW w:w="998" w:type="dxa"/>
            <w:shd w:val="clear" w:color="auto" w:fill="auto"/>
            <w:noWrap/>
            <w:vAlign w:val="bottom"/>
          </w:tcPr>
          <w:p w14:paraId="552A3EF5">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3</w:t>
            </w:r>
          </w:p>
        </w:tc>
        <w:tc>
          <w:tcPr>
            <w:tcW w:w="2977" w:type="dxa"/>
            <w:shd w:val="clear" w:color="auto" w:fill="auto"/>
            <w:noWrap/>
            <w:vAlign w:val="bottom"/>
          </w:tcPr>
          <w:p w14:paraId="2FF43188">
            <w:pPr>
              <w:spacing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Рулонный газон/двор</w:t>
            </w:r>
          </w:p>
        </w:tc>
        <w:tc>
          <w:tcPr>
            <w:tcW w:w="1417" w:type="dxa"/>
            <w:shd w:val="clear" w:color="auto" w:fill="auto"/>
            <w:noWrap/>
            <w:vAlign w:val="bottom"/>
          </w:tcPr>
          <w:p w14:paraId="0E0B37D4">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-247.63</w:t>
            </w:r>
          </w:p>
        </w:tc>
        <w:tc>
          <w:tcPr>
            <w:tcW w:w="1276" w:type="dxa"/>
            <w:shd w:val="clear" w:color="auto" w:fill="auto"/>
            <w:noWrap/>
            <w:vAlign w:val="bottom"/>
          </w:tcPr>
          <w:p w14:paraId="66CDAEBB">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438.08</w:t>
            </w:r>
          </w:p>
        </w:tc>
        <w:tc>
          <w:tcPr>
            <w:tcW w:w="2551" w:type="dxa"/>
            <w:shd w:val="clear" w:color="auto" w:fill="auto"/>
            <w:noWrap/>
            <w:vAlign w:val="bottom"/>
          </w:tcPr>
          <w:p w14:paraId="3C070814">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190.45</w:t>
            </w:r>
          </w:p>
        </w:tc>
      </w:tr>
      <w:tr w14:paraId="4978D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980" w:type="dxa"/>
            <w:gridSpan w:val="2"/>
            <w:shd w:val="clear" w:color="auto" w:fill="BEBEBE" w:themeFill="background1" w:themeFillShade="BF"/>
          </w:tcPr>
          <w:p w14:paraId="275E2760">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Среднее</w:t>
            </w:r>
          </w:p>
        </w:tc>
        <w:tc>
          <w:tcPr>
            <w:tcW w:w="2977" w:type="dxa"/>
            <w:shd w:val="clear" w:color="auto" w:fill="BEBEBE" w:themeFill="background1" w:themeFillShade="BF"/>
            <w:noWrap/>
            <w:vAlign w:val="bottom"/>
          </w:tcPr>
          <w:p w14:paraId="13863E41">
            <w:pPr>
              <w:spacing w:line="240" w:lineRule="auto"/>
              <w:rPr>
                <w:rFonts w:eastAsia="Times New Roman" w:cs="Times New Roman"/>
                <w:color w:val="000000"/>
                <w:sz w:val="24"/>
                <w:szCs w:val="24"/>
                <w:lang w:eastAsia="ru-RU"/>
              </w:rPr>
            </w:pPr>
          </w:p>
        </w:tc>
        <w:tc>
          <w:tcPr>
            <w:tcW w:w="1417" w:type="dxa"/>
            <w:shd w:val="clear" w:color="auto" w:fill="BEBEBE" w:themeFill="background1" w:themeFillShade="BF"/>
            <w:noWrap/>
            <w:vAlign w:val="bottom"/>
          </w:tcPr>
          <w:p w14:paraId="55303592">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-236,64</w:t>
            </w:r>
          </w:p>
        </w:tc>
        <w:tc>
          <w:tcPr>
            <w:tcW w:w="1276" w:type="dxa"/>
            <w:shd w:val="clear" w:color="auto" w:fill="BEBEBE" w:themeFill="background1" w:themeFillShade="BF"/>
            <w:noWrap/>
            <w:vAlign w:val="bottom"/>
          </w:tcPr>
          <w:p w14:paraId="4ADC613E">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482,74</w:t>
            </w:r>
          </w:p>
        </w:tc>
        <w:tc>
          <w:tcPr>
            <w:tcW w:w="2551" w:type="dxa"/>
            <w:shd w:val="clear" w:color="auto" w:fill="BEBEBE" w:themeFill="background1" w:themeFillShade="BF"/>
            <w:noWrap/>
            <w:vAlign w:val="bottom"/>
          </w:tcPr>
          <w:p w14:paraId="77779E68">
            <w:pPr>
              <w:spacing w:line="240" w:lineRule="auto"/>
              <w:jc w:val="center"/>
              <w:rPr>
                <w:rFonts w:eastAsia="Times New Roman" w:cs="Times New Roman"/>
                <w:color w:val="000000"/>
                <w:sz w:val="24"/>
                <w:szCs w:val="24"/>
                <w:lang w:eastAsia="ru-RU"/>
              </w:rPr>
            </w:pPr>
            <w:r>
              <w:rPr>
                <w:rFonts w:eastAsia="Times New Roman" w:cs="Times New Roman"/>
                <w:color w:val="000000"/>
                <w:sz w:val="24"/>
                <w:szCs w:val="24"/>
                <w:lang w:eastAsia="ru-RU"/>
              </w:rPr>
              <w:t>246,1</w:t>
            </w:r>
          </w:p>
        </w:tc>
      </w:tr>
    </w:tbl>
    <w:p w14:paraId="44A4845A">
      <w:pPr>
        <w:jc w:val="both"/>
        <w:rPr>
          <w:rFonts w:cs="Times New Roman"/>
          <w:b/>
          <w:bCs/>
        </w:rPr>
      </w:pPr>
    </w:p>
    <w:p w14:paraId="71D12F82">
      <w:pPr>
        <w:spacing w:line="240" w:lineRule="auto"/>
        <w:ind w:firstLine="708"/>
        <w:jc w:val="both"/>
        <w:rPr>
          <w:rFonts w:cs="Times New Roman"/>
          <w:b/>
          <w:bCs/>
        </w:rPr>
      </w:pPr>
      <w:r>
        <w:rPr>
          <w:rFonts w:cs="Times New Roman"/>
          <w:bCs/>
        </w:rPr>
        <w:t xml:space="preserve">Из таблицы видно, что днем растительность участков №1 и №3 </w:t>
      </w:r>
      <w:r>
        <w:t xml:space="preserve">являются стоком атмосферного углерода, в ночной период года эти экосистемы функционируют как источник поступления СО2 в атмосферу. </w:t>
      </w:r>
    </w:p>
    <w:p w14:paraId="1F794428">
      <w:pPr>
        <w:spacing w:line="240" w:lineRule="auto"/>
        <w:ind w:firstLine="708"/>
        <w:jc w:val="both"/>
        <w:rPr>
          <w:rFonts w:cs="Times New Roman"/>
          <w:bCs/>
        </w:rPr>
      </w:pPr>
      <w:r>
        <w:rPr>
          <w:rFonts w:cs="Times New Roman"/>
          <w:bCs/>
        </w:rPr>
        <w:t>Напротив, созданное нами растительное сообщество модельного участка № 1 (травосмесь на склоне) на 1 кв. м. в среднем поглощает 150,98  мг\м</w:t>
      </w:r>
      <w:r>
        <w:rPr>
          <w:rFonts w:cs="Times New Roman"/>
          <w:bCs/>
          <w:vertAlign w:val="superscript"/>
        </w:rPr>
        <w:t xml:space="preserve">2 </w:t>
      </w:r>
      <w:r>
        <w:rPr>
          <w:rFonts w:cs="Times New Roman"/>
          <w:bCs/>
        </w:rPr>
        <w:t>углерода за один час. Для сравнения на дерновинно-злаковой степи на карбоновом полигоне в Зауралье этот показатель состовляет 181 мг\м</w:t>
      </w:r>
      <w:r>
        <w:rPr>
          <w:rFonts w:cs="Times New Roman"/>
          <w:bCs/>
          <w:vertAlign w:val="superscript"/>
        </w:rPr>
        <w:t>2</w:t>
      </w:r>
      <w:r>
        <w:rPr>
          <w:rFonts w:cs="Times New Roman"/>
          <w:bCs/>
        </w:rPr>
        <w:t xml:space="preserve">. </w:t>
      </w:r>
    </w:p>
    <w:p w14:paraId="7BB69119">
      <w:pPr>
        <w:spacing w:line="240" w:lineRule="auto"/>
        <w:ind w:firstLine="708"/>
        <w:jc w:val="both"/>
        <w:rPr>
          <w:rFonts w:cs="Times New Roman"/>
          <w:bCs/>
        </w:rPr>
      </w:pPr>
      <w:r>
        <w:rPr>
          <w:rFonts w:cs="Times New Roman"/>
          <w:bCs/>
        </w:rPr>
        <w:t xml:space="preserve">Участок №2 (городской газон на склоне)  наоборот выделяет </w:t>
      </w:r>
      <w:r>
        <w:rPr>
          <w:rFonts w:cs="Times New Roman"/>
          <w:bCs/>
          <w:lang w:val="en-US"/>
        </w:rPr>
        <w:t>CO</w:t>
      </w:r>
      <w:r>
        <w:rPr>
          <w:rFonts w:cs="Times New Roman"/>
          <w:bCs/>
        </w:rPr>
        <w:t>2 - в среднем 670,21 мг\м</w:t>
      </w:r>
      <w:r>
        <w:rPr>
          <w:rFonts w:cs="Times New Roman"/>
          <w:bCs/>
          <w:vertAlign w:val="superscript"/>
        </w:rPr>
        <w:t>2</w:t>
      </w:r>
      <w:r>
        <w:rPr>
          <w:rFonts w:cs="Times New Roman"/>
          <w:bCs/>
        </w:rPr>
        <w:t>. Рулонный газон (участок №3) выделяет в среднем 246,1 мг\м</w:t>
      </w:r>
      <w:r>
        <w:rPr>
          <w:rFonts w:cs="Times New Roman"/>
          <w:bCs/>
          <w:vertAlign w:val="superscript"/>
        </w:rPr>
        <w:t>2</w:t>
      </w:r>
      <w:r>
        <w:rPr>
          <w:rFonts w:cs="Times New Roman"/>
          <w:bCs/>
        </w:rPr>
        <w:t xml:space="preserve"> углекислого газа. </w:t>
      </w:r>
    </w:p>
    <w:p w14:paraId="0202EF0B">
      <w:pPr>
        <w:spacing w:line="240" w:lineRule="auto"/>
        <w:ind w:firstLine="708"/>
        <w:jc w:val="both"/>
        <w:rPr>
          <w:rFonts w:cs="Times New Roman"/>
          <w:bCs/>
        </w:rPr>
      </w:pPr>
      <w:r>
        <w:rPr>
          <w:rFonts w:cs="Times New Roman"/>
          <w:bCs/>
        </w:rPr>
        <w:t xml:space="preserve">Далее мы сделали перерасчет на количество часов солнечного сияния – в то время, когда происходит фотосинтез и сумерек (ночное время), когда фотосинтеза нет, за вегетационный сезон. </w:t>
      </w:r>
    </w:p>
    <w:p w14:paraId="6DD08F8C">
      <w:pPr>
        <w:spacing w:line="240" w:lineRule="auto"/>
        <w:ind w:firstLine="708"/>
        <w:jc w:val="both"/>
        <w:rPr>
          <w:rFonts w:eastAsia="Times New Roman" w:cs="Times New Roman"/>
          <w:color w:val="2C2D2E"/>
          <w:lang w:eastAsia="ru-RU"/>
        </w:rPr>
      </w:pPr>
      <w:r>
        <w:rPr>
          <w:rFonts w:cs="Times New Roman"/>
          <w:bCs/>
        </w:rPr>
        <w:t xml:space="preserve">Для этого мы взяли набор данных </w:t>
      </w:r>
      <w:r>
        <w:rPr>
          <w:rFonts w:eastAsia="Times New Roman" w:cs="Times New Roman"/>
          <w:color w:val="202124"/>
          <w:shd w:val="clear" w:color="auto" w:fill="FFFFFF"/>
          <w:lang w:eastAsia="ru-RU"/>
        </w:rPr>
        <w:t xml:space="preserve">ERA5 для </w:t>
      </w:r>
      <w:r>
        <w:rPr>
          <w:rFonts w:cs="Times New Roman"/>
          <w:bCs/>
        </w:rPr>
        <w:t xml:space="preserve">данной локации с апреля по сентябрь. </w:t>
      </w:r>
      <w:r>
        <w:rPr>
          <w:rFonts w:eastAsia="Times New Roman" w:cs="Times New Roman"/>
          <w:color w:val="202124"/>
          <w:shd w:val="clear" w:color="auto" w:fill="FFFFFF"/>
          <w:lang w:eastAsia="ru-RU"/>
        </w:rPr>
        <w:t>ERA5— это пятое поколение атмосферного анализа глобального климата, разработаный Службой по изменению климата программы «Коперник». Он объединяет данные с наблюдениями со всего мира. ERA5 предоставляет почасовые оценки большого количества атмосферных, морских волновых и поверхностных параметров. Данные покрывают Землю сеткой с шагом примерно 31 км и позволяют описать атмосферу, используя 137 уровней от поверхности до высоты 80 км. Данные доступны с 1940 года по настоящее время (</w:t>
      </w:r>
      <w:r>
        <w:rPr>
          <w:rFonts w:cs="Times New Roman"/>
          <w:color w:val="202124"/>
          <w:shd w:val="clear" w:color="auto" w:fill="FFFFFF"/>
        </w:rPr>
        <w:t xml:space="preserve">Hersbach, </w:t>
      </w:r>
      <w:r>
        <w:rPr>
          <w:rFonts w:cs="Times New Roman"/>
          <w:color w:val="202124"/>
          <w:shd w:val="clear" w:color="auto" w:fill="FFFFFF"/>
          <w:lang w:val="en-US"/>
        </w:rPr>
        <w:t>et</w:t>
      </w:r>
      <w:r>
        <w:rPr>
          <w:rFonts w:cs="Times New Roman"/>
          <w:color w:val="202124"/>
          <w:shd w:val="clear" w:color="auto" w:fill="FFFFFF"/>
        </w:rPr>
        <w:t xml:space="preserve"> </w:t>
      </w:r>
      <w:r>
        <w:rPr>
          <w:rFonts w:cs="Times New Roman"/>
          <w:color w:val="202124"/>
          <w:shd w:val="clear" w:color="auto" w:fill="FFFFFF"/>
          <w:lang w:val="en-US"/>
        </w:rPr>
        <w:t>al</w:t>
      </w:r>
      <w:r>
        <w:rPr>
          <w:rFonts w:cs="Times New Roman"/>
          <w:color w:val="202124"/>
          <w:shd w:val="clear" w:color="auto" w:fill="FFFFFF"/>
        </w:rPr>
        <w:t xml:space="preserve">., 2020). </w:t>
      </w:r>
    </w:p>
    <w:p w14:paraId="39E4B780">
      <w:pPr>
        <w:spacing w:line="240" w:lineRule="auto"/>
        <w:ind w:firstLine="708"/>
        <w:jc w:val="both"/>
        <w:rPr>
          <w:rFonts w:cs="Times New Roman"/>
          <w:bCs/>
        </w:rPr>
      </w:pPr>
      <w:r>
        <w:rPr>
          <w:rFonts w:cs="Times New Roman"/>
          <w:bCs/>
        </w:rPr>
        <w:t>По данным из этой системы количество часов солнечного сияния за вегетационный сезон составляет 1707 часов, количество сумерек – 2040 часов.</w:t>
      </w:r>
    </w:p>
    <w:p w14:paraId="0AD20133">
      <w:pPr>
        <w:spacing w:line="240" w:lineRule="auto"/>
        <w:ind w:firstLine="708"/>
        <w:jc w:val="both"/>
        <w:rPr>
          <w:rFonts w:cs="Times New Roman"/>
          <w:bCs/>
        </w:rPr>
      </w:pPr>
      <w:r>
        <w:rPr>
          <w:rFonts w:cs="Times New Roman"/>
          <w:bCs/>
        </w:rPr>
        <w:t xml:space="preserve">Таким образом суммарное </w:t>
      </w:r>
      <w:r>
        <w:rPr>
          <w:rFonts w:cs="Times New Roman"/>
          <w:b/>
          <w:bCs/>
        </w:rPr>
        <w:t>поглощение</w:t>
      </w:r>
      <w:r>
        <w:rPr>
          <w:rFonts w:cs="Times New Roman"/>
          <w:bCs/>
        </w:rPr>
        <w:t xml:space="preserve"> </w:t>
      </w:r>
      <w:r>
        <w:rPr>
          <w:rFonts w:cs="Times New Roman"/>
          <w:bCs/>
          <w:lang w:val="en-US"/>
        </w:rPr>
        <w:t>CO</w:t>
      </w:r>
      <w:r>
        <w:rPr>
          <w:rFonts w:cs="Times New Roman"/>
          <w:bCs/>
        </w:rPr>
        <w:t xml:space="preserve">2 растительного сообщества  модельного участка №1 за вегетационный сезон составлет -892,17 </w:t>
      </w:r>
      <w:r>
        <w:rPr>
          <w:rFonts w:cs="Times New Roman"/>
          <w:bCs/>
          <w:lang w:val="en-US"/>
        </w:rPr>
        <w:t>x</w:t>
      </w:r>
      <w:r>
        <w:rPr>
          <w:rFonts w:cs="Times New Roman"/>
          <w:bCs/>
        </w:rPr>
        <w:t xml:space="preserve"> 1707= -1522934,19 мг\м</w:t>
      </w:r>
      <w:r>
        <w:rPr>
          <w:rFonts w:cs="Times New Roman"/>
          <w:bCs/>
          <w:vertAlign w:val="superscript"/>
        </w:rPr>
        <w:t>2</w:t>
      </w:r>
      <w:r>
        <w:rPr>
          <w:rFonts w:cs="Times New Roman"/>
          <w:bCs/>
        </w:rPr>
        <w:t xml:space="preserve">. </w:t>
      </w:r>
      <w:r>
        <w:rPr>
          <w:rFonts w:cs="Times New Roman"/>
          <w:b/>
          <w:bCs/>
        </w:rPr>
        <w:t>Выделение</w:t>
      </w:r>
      <w:r>
        <w:rPr>
          <w:rFonts w:cs="Times New Roman"/>
          <w:bCs/>
        </w:rPr>
        <w:t xml:space="preserve"> </w:t>
      </w:r>
      <w:r>
        <w:rPr>
          <w:rFonts w:cs="Times New Roman"/>
          <w:bCs/>
          <w:lang w:val="en-US"/>
        </w:rPr>
        <w:t>CO</w:t>
      </w:r>
      <w:r>
        <w:rPr>
          <w:rFonts w:cs="Times New Roman"/>
          <w:bCs/>
        </w:rPr>
        <w:t xml:space="preserve">2 растительного сообщества  модельного участка №1 за вегетационный сезон составлет 751,19 </w:t>
      </w:r>
      <w:r>
        <w:rPr>
          <w:rFonts w:cs="Times New Roman"/>
          <w:bCs/>
          <w:lang w:val="en-US"/>
        </w:rPr>
        <w:t>x</w:t>
      </w:r>
      <w:r>
        <w:rPr>
          <w:rFonts w:cs="Times New Roman"/>
          <w:bCs/>
        </w:rPr>
        <w:t xml:space="preserve"> 2040= 1532427,6 мг\м</w:t>
      </w:r>
      <w:r>
        <w:rPr>
          <w:rFonts w:cs="Times New Roman"/>
          <w:bCs/>
          <w:vertAlign w:val="superscript"/>
        </w:rPr>
        <w:t>2</w:t>
      </w:r>
      <w:r>
        <w:rPr>
          <w:rFonts w:cs="Times New Roman"/>
          <w:bCs/>
        </w:rPr>
        <w:t>.</w:t>
      </w:r>
    </w:p>
    <w:p w14:paraId="5A78930E">
      <w:pPr>
        <w:spacing w:line="240" w:lineRule="auto"/>
        <w:ind w:firstLine="708"/>
        <w:jc w:val="both"/>
        <w:rPr>
          <w:rFonts w:cs="Times New Roman"/>
          <w:bCs/>
        </w:rPr>
      </w:pPr>
      <w:r>
        <w:rPr>
          <w:rFonts w:cs="Times New Roman"/>
          <w:bCs/>
        </w:rPr>
        <w:t>Разница между веделением и поглощением составляет: 1532427,6 мг\м</w:t>
      </w:r>
      <w:r>
        <w:rPr>
          <w:rFonts w:cs="Times New Roman"/>
          <w:bCs/>
          <w:vertAlign w:val="superscript"/>
        </w:rPr>
        <w:t>2</w:t>
      </w:r>
      <w:r>
        <w:rPr>
          <w:rFonts w:cs="Times New Roman"/>
          <w:bCs/>
        </w:rPr>
        <w:t>-1522934,19 мг\м</w:t>
      </w:r>
      <w:r>
        <w:rPr>
          <w:rFonts w:cs="Times New Roman"/>
          <w:bCs/>
          <w:vertAlign w:val="superscript"/>
        </w:rPr>
        <w:t>2</w:t>
      </w:r>
      <w:r>
        <w:rPr>
          <w:rFonts w:cs="Times New Roman"/>
          <w:bCs/>
        </w:rPr>
        <w:t>=9493,41 мг\м</w:t>
      </w:r>
      <w:r>
        <w:rPr>
          <w:rFonts w:cs="Times New Roman"/>
          <w:bCs/>
          <w:vertAlign w:val="superscript"/>
        </w:rPr>
        <w:t>2</w:t>
      </w:r>
      <w:r>
        <w:rPr>
          <w:rFonts w:cs="Times New Roman"/>
          <w:bCs/>
        </w:rPr>
        <w:t>. Отсюда следует, что на 1 кв м сообщество участка №1 поглощает СО2 в размере 9493,41 мг\м</w:t>
      </w:r>
      <w:r>
        <w:rPr>
          <w:rFonts w:cs="Times New Roman"/>
          <w:bCs/>
          <w:vertAlign w:val="superscript"/>
        </w:rPr>
        <w:t>2</w:t>
      </w:r>
      <w:r>
        <w:rPr>
          <w:rFonts w:cs="Times New Roman"/>
          <w:bCs/>
        </w:rPr>
        <w:t xml:space="preserve"> за вегетационный сезон. </w:t>
      </w:r>
    </w:p>
    <w:p w14:paraId="63411B50">
      <w:pPr>
        <w:spacing w:line="240" w:lineRule="auto"/>
        <w:ind w:firstLine="708"/>
        <w:jc w:val="both"/>
        <w:rPr>
          <w:rFonts w:cs="Times New Roman"/>
          <w:bCs/>
        </w:rPr>
      </w:pPr>
      <w:r>
        <w:rPr>
          <w:rFonts w:cs="Times New Roman"/>
          <w:b/>
          <w:bCs/>
        </w:rPr>
        <w:t xml:space="preserve">Пересчитывая на площадь: </w:t>
      </w:r>
      <w:r>
        <w:rPr>
          <w:rFonts w:cs="Times New Roman"/>
          <w:bCs/>
        </w:rPr>
        <w:t>2200 м</w:t>
      </w:r>
      <w:r>
        <w:rPr>
          <w:rFonts w:cs="Times New Roman"/>
          <w:bCs/>
          <w:vertAlign w:val="superscript"/>
        </w:rPr>
        <w:t>2</w:t>
      </w:r>
      <w:r>
        <w:rPr>
          <w:rFonts w:cs="Times New Roman"/>
          <w:bCs/>
        </w:rPr>
        <w:t xml:space="preserve"> х 9493,41  = 20 885 502 мг углекислого газа поглащает сообществ участка №1 за сезон. </w:t>
      </w:r>
    </w:p>
    <w:p w14:paraId="4CCEC034">
      <w:pPr>
        <w:jc w:val="center"/>
        <w:rPr>
          <w:rFonts w:cs="Times New Roman"/>
          <w:b/>
          <w:bCs/>
        </w:rPr>
      </w:pPr>
    </w:p>
    <w:p w14:paraId="2EAFA3FE">
      <w:pPr>
        <w:spacing w:line="240" w:lineRule="auto"/>
        <w:jc w:val="center"/>
        <w:rPr>
          <w:rFonts w:cs="Times New Roman"/>
          <w:b/>
          <w:bCs/>
        </w:rPr>
      </w:pPr>
      <w:r>
        <w:rPr>
          <w:rFonts w:cs="Times New Roman"/>
          <w:b/>
          <w:bCs/>
        </w:rPr>
        <w:t>4.5. Возможность применения полученных результатов для создания карбонового полигона в городе</w:t>
      </w:r>
    </w:p>
    <w:p w14:paraId="2B36D14D">
      <w:pPr>
        <w:spacing w:line="240" w:lineRule="auto"/>
        <w:jc w:val="center"/>
        <w:rPr>
          <w:rFonts w:cs="Times New Roman"/>
          <w:b/>
          <w:bCs/>
        </w:rPr>
      </w:pPr>
    </w:p>
    <w:p w14:paraId="7022C2BD">
      <w:pPr>
        <w:pStyle w:val="18"/>
        <w:spacing w:line="240" w:lineRule="auto"/>
        <w:ind w:left="0" w:firstLine="709"/>
        <w:jc w:val="both"/>
        <w:rPr>
          <w:rFonts w:cs="Times New Roman"/>
        </w:rPr>
      </w:pPr>
      <w:r>
        <w:rPr>
          <w:rFonts w:cs="Times New Roman"/>
          <w:bCs/>
        </w:rPr>
        <w:t xml:space="preserve">Таким образом, результаты наших исследований показали, что в городе возможно создать малоуходные травяные растительные сообщества, устойчивые во времени, с достаточно высокой эстетическим видом, которые могут выполнять климатические функции по декарбонизации. Подобранные виды в травосмеси - </w:t>
      </w:r>
      <w:r>
        <w:rPr>
          <w:rFonts w:cs="Times New Roman"/>
        </w:rPr>
        <w:t xml:space="preserve">люцерна посевная синегибридная (Medicago sativa), клевер луговой (Trifolium pretense), пырей ползучий (Elytrígia repens), житняк ширококолосный (Agropyron pectiniforme) показали хорошие результаты по всхожости, приживаемости и по динамике биомассы. В созданном сообществе наблюдается постепенное насыщение флористического состава видами естественных местообитнаний на фоне снижения обилия синантропных видов, что индицирует его днамику в сторону формирования остепненного луга, типа травяных сообщест шроко преддставленных в лесостепной зоне Южного Урала. Созданное травяное соообщество, в отличие от обычных городских газонов способно поглощать углерод и выполнять функции декорбанизации в городе. Особенно это актуально для территорий, где отсутствуют древесные насаждения и городские леса. В Уфе одним из таких мест является склон проспекта Салавата Юлаева – основной транзитной магистрали проходящих через весь город, длина которого составляет 7,5 км. В настоящее время она занята преимущественно разреженным городским газоном с преобладанием синантропных видов (в нашем эксперименте он соответствует участку №2). Площадь южного склона (рис. 11) проспекта Салавата Юлаева примерно составляет 256513 кв м. Если для озеленения всей территории южного склона применить такие природоподобные решения, как мы рассматриваем на нашем модельном участке, то можно расчитать объем поглощения. В течение вегетационного сезона будет поглощаться: </w:t>
      </w:r>
      <w:r>
        <w:rPr>
          <w:rFonts w:cs="Times New Roman"/>
          <w:bCs/>
        </w:rPr>
        <w:t>9493,41 мг\м</w:t>
      </w:r>
      <w:r>
        <w:rPr>
          <w:rFonts w:cs="Times New Roman"/>
          <w:bCs/>
          <w:vertAlign w:val="superscript"/>
        </w:rPr>
        <w:t xml:space="preserve">2 </w:t>
      </w:r>
      <w:r>
        <w:rPr>
          <w:rFonts w:cs="Times New Roman"/>
          <w:bCs/>
        </w:rPr>
        <w:t xml:space="preserve">х </w:t>
      </w:r>
      <w:r>
        <w:rPr>
          <w:rFonts w:cs="Times New Roman"/>
        </w:rPr>
        <w:t>256513</w:t>
      </w:r>
      <w:r>
        <w:rPr>
          <w:rFonts w:cs="Times New Roman"/>
          <w:bCs/>
        </w:rPr>
        <w:t>м</w:t>
      </w:r>
      <w:r>
        <w:rPr>
          <w:rFonts w:cs="Times New Roman"/>
          <w:bCs/>
          <w:vertAlign w:val="superscript"/>
        </w:rPr>
        <w:t>2</w:t>
      </w:r>
      <w:r>
        <w:rPr>
          <w:rFonts w:cs="Times New Roman"/>
        </w:rPr>
        <w:t>=2</w:t>
      </w:r>
      <w:r>
        <w:rPr>
          <w:rFonts w:cs="Times New Roman"/>
          <w:lang w:val="en-US"/>
        </w:rPr>
        <w:t> </w:t>
      </w:r>
      <w:r>
        <w:rPr>
          <w:rFonts w:cs="Times New Roman"/>
        </w:rPr>
        <w:t>435</w:t>
      </w:r>
      <w:r>
        <w:rPr>
          <w:rFonts w:cs="Times New Roman"/>
          <w:lang w:val="en-US"/>
        </w:rPr>
        <w:t> </w:t>
      </w:r>
      <w:r>
        <w:rPr>
          <w:rFonts w:cs="Times New Roman"/>
        </w:rPr>
        <w:t>183</w:t>
      </w:r>
      <w:r>
        <w:rPr>
          <w:rFonts w:cs="Times New Roman"/>
          <w:lang w:val="en-US"/>
        </w:rPr>
        <w:t> </w:t>
      </w:r>
      <w:r>
        <w:rPr>
          <w:rFonts w:cs="Times New Roman"/>
        </w:rPr>
        <w:t>079,33 мг углекислого газа, т.е более 2.4 тонн углекислого газа. Для сравнения при существуещем типе  озеления эта территория выделяет по расчетам более 235 тонн углекислого газа в год. Значит, за счет применения природоподобных решений можно значительно снизить нагрузку на экосистему города.</w:t>
      </w:r>
    </w:p>
    <w:p w14:paraId="322355EB">
      <w:pPr>
        <w:jc w:val="center"/>
        <w:rPr>
          <w:rFonts w:cs="Times New Roman"/>
          <w:b/>
          <w:bCs/>
        </w:rPr>
      </w:pPr>
    </w:p>
    <w:p w14:paraId="6CC30109">
      <w:pPr>
        <w:jc w:val="center"/>
        <w:rPr>
          <w:rFonts w:cs="Times New Roman"/>
          <w:b/>
          <w:bCs/>
        </w:rPr>
      </w:pPr>
      <w:r>
        <w:rPr>
          <w:rFonts w:cs="Times New Roman"/>
          <w:b/>
          <w:bCs/>
          <w:lang w:eastAsia="ru-RU"/>
        </w:rPr>
        <w:drawing>
          <wp:inline distT="0" distB="0" distL="0" distR="0">
            <wp:extent cx="6119495" cy="484441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pic:cNvPicPr>
                  </pic:nvPicPr>
                  <pic:blipFill>
                    <a:blip r:embed="rId21"/>
                    <a:stretch>
                      <a:fillRect/>
                    </a:stretch>
                  </pic:blipFill>
                  <pic:spPr>
                    <a:xfrm>
                      <a:off x="0" y="0"/>
                      <a:ext cx="6119495" cy="4844415"/>
                    </a:xfrm>
                    <a:prstGeom prst="rect">
                      <a:avLst/>
                    </a:prstGeom>
                  </pic:spPr>
                </pic:pic>
              </a:graphicData>
            </a:graphic>
          </wp:inline>
        </w:drawing>
      </w:r>
    </w:p>
    <w:p w14:paraId="2ABAFA06">
      <w:pPr>
        <w:spacing w:line="240" w:lineRule="auto"/>
        <w:ind w:firstLine="708"/>
        <w:jc w:val="both"/>
        <w:rPr>
          <w:rFonts w:cs="Times New Roman"/>
          <w:bCs/>
        </w:rPr>
      </w:pPr>
      <w:r>
        <w:rPr>
          <w:rFonts w:cs="Times New Roman"/>
          <w:bCs/>
        </w:rPr>
        <w:t xml:space="preserve">Рис. 11. Расположение склона вдоль проспекта Салавата Юлаева, перспективной территории для создания линейного карбонового полигона. </w:t>
      </w:r>
    </w:p>
    <w:p w14:paraId="6720FA11">
      <w:pPr>
        <w:jc w:val="center"/>
        <w:rPr>
          <w:rFonts w:cs="Times New Roman"/>
          <w:b/>
          <w:bCs/>
        </w:rPr>
      </w:pPr>
    </w:p>
    <w:p w14:paraId="57E45E68">
      <w:pPr>
        <w:jc w:val="center"/>
        <w:rPr>
          <w:rFonts w:cs="Times New Roman"/>
          <w:b/>
          <w:bCs/>
        </w:rPr>
      </w:pPr>
    </w:p>
    <w:p w14:paraId="7B99FFA8">
      <w:pPr>
        <w:jc w:val="center"/>
        <w:rPr>
          <w:rFonts w:cs="Times New Roman"/>
          <w:b/>
          <w:bCs/>
        </w:rPr>
      </w:pPr>
    </w:p>
    <w:p w14:paraId="6D183124">
      <w:pPr>
        <w:jc w:val="center"/>
        <w:rPr>
          <w:rFonts w:cs="Times New Roman"/>
          <w:b/>
        </w:rPr>
      </w:pPr>
    </w:p>
    <w:p w14:paraId="313E1640">
      <w:pPr>
        <w:jc w:val="center"/>
        <w:rPr>
          <w:rFonts w:cs="Times New Roman"/>
          <w:b/>
        </w:rPr>
      </w:pPr>
    </w:p>
    <w:p w14:paraId="302CF9CA">
      <w:pPr>
        <w:jc w:val="center"/>
        <w:rPr>
          <w:rFonts w:cs="Times New Roman"/>
          <w:b/>
        </w:rPr>
      </w:pPr>
    </w:p>
    <w:p w14:paraId="6712C886">
      <w:pPr>
        <w:jc w:val="center"/>
        <w:rPr>
          <w:rFonts w:cs="Times New Roman"/>
          <w:b/>
        </w:rPr>
      </w:pPr>
    </w:p>
    <w:p w14:paraId="26591FF4">
      <w:pPr>
        <w:jc w:val="center"/>
        <w:rPr>
          <w:rFonts w:cs="Times New Roman"/>
          <w:b/>
        </w:rPr>
      </w:pPr>
    </w:p>
    <w:p w14:paraId="455F9497">
      <w:pPr>
        <w:jc w:val="center"/>
        <w:rPr>
          <w:rFonts w:cs="Times New Roman"/>
          <w:b/>
        </w:rPr>
      </w:pPr>
      <w:r>
        <w:rPr>
          <w:rFonts w:cs="Times New Roman"/>
          <w:b/>
        </w:rPr>
        <w:t xml:space="preserve">    </w:t>
      </w:r>
    </w:p>
    <w:p w14:paraId="11B5557E">
      <w:pPr>
        <w:jc w:val="center"/>
        <w:rPr>
          <w:rFonts w:cs="Times New Roman"/>
          <w:b/>
        </w:rPr>
      </w:pPr>
    </w:p>
    <w:p w14:paraId="06C82790">
      <w:pPr>
        <w:jc w:val="center"/>
        <w:rPr>
          <w:rFonts w:cs="Times New Roman"/>
          <w:b/>
        </w:rPr>
      </w:pPr>
    </w:p>
    <w:p w14:paraId="0D467E1D">
      <w:pPr>
        <w:jc w:val="center"/>
        <w:rPr>
          <w:rFonts w:cs="Times New Roman"/>
          <w:b/>
        </w:rPr>
      </w:pPr>
    </w:p>
    <w:p w14:paraId="5553686C">
      <w:pPr>
        <w:spacing w:line="240" w:lineRule="auto"/>
        <w:jc w:val="center"/>
        <w:rPr>
          <w:rFonts w:cs="Times New Roman"/>
          <w:b/>
        </w:rPr>
      </w:pPr>
      <w:r>
        <w:rPr>
          <w:rFonts w:cs="Times New Roman"/>
          <w:b/>
        </w:rPr>
        <w:t>Выводы</w:t>
      </w:r>
    </w:p>
    <w:p w14:paraId="654463AE">
      <w:pPr>
        <w:spacing w:line="240" w:lineRule="auto"/>
        <w:jc w:val="center"/>
        <w:rPr>
          <w:rFonts w:cs="Times New Roman"/>
          <w:b/>
        </w:rPr>
      </w:pPr>
    </w:p>
    <w:p w14:paraId="0647D42B">
      <w:pPr>
        <w:pStyle w:val="18"/>
        <w:numPr>
          <w:ilvl w:val="0"/>
          <w:numId w:val="8"/>
        </w:numPr>
        <w:spacing w:line="240" w:lineRule="auto"/>
        <w:jc w:val="both"/>
        <w:rPr>
          <w:rFonts w:cs="Times New Roman"/>
        </w:rPr>
      </w:pPr>
      <w:r>
        <w:rPr>
          <w:rFonts w:cs="Times New Roman"/>
        </w:rPr>
        <w:t>На основе подобранной травосмеси со</w:t>
      </w:r>
      <w:r>
        <w:rPr>
          <w:rFonts w:cs="Times New Roman"/>
          <w:lang w:val="ru-RU"/>
        </w:rPr>
        <w:t>с</w:t>
      </w:r>
      <w:r>
        <w:rPr>
          <w:rFonts w:cs="Times New Roman"/>
        </w:rPr>
        <w:t>тоящей из 2 злаков - пырея ползучего (</w:t>
      </w:r>
      <w:r>
        <w:rPr>
          <w:rFonts w:cs="Times New Roman"/>
          <w:lang w:val="en-US"/>
        </w:rPr>
        <w:t>Elytrigia</w:t>
      </w:r>
      <w:r>
        <w:rPr>
          <w:rFonts w:cs="Times New Roman"/>
        </w:rPr>
        <w:t xml:space="preserve"> </w:t>
      </w:r>
      <w:r>
        <w:rPr>
          <w:rFonts w:cs="Times New Roman"/>
          <w:lang w:val="en-US"/>
        </w:rPr>
        <w:t>repens</w:t>
      </w:r>
      <w:r>
        <w:rPr>
          <w:rFonts w:cs="Times New Roman"/>
        </w:rPr>
        <w:t xml:space="preserve">), житняка ширококолосого (Agropyron pectiniforme) и 2 видов разнотравья - люцерны посевной синегибридной (Medicago sativa), клевера лугового (Trifolium pretense) за период 2023-2025 года была создано малоуходное устойчивое травяное сообщества на склоне проезжей части. </w:t>
      </w:r>
    </w:p>
    <w:p w14:paraId="763F5FA3">
      <w:pPr>
        <w:pStyle w:val="18"/>
        <w:numPr>
          <w:ilvl w:val="0"/>
          <w:numId w:val="8"/>
        </w:numPr>
        <w:spacing w:line="240" w:lineRule="auto"/>
        <w:jc w:val="both"/>
        <w:rPr>
          <w:rFonts w:cs="Times New Roman"/>
        </w:rPr>
      </w:pPr>
      <w:r>
        <w:rPr>
          <w:rFonts w:cs="Times New Roman"/>
        </w:rPr>
        <w:t>За три года существования сообщества его наземная биомасса выросла почти в 10 раз (с 0,3</w:t>
      </w:r>
      <w:r>
        <w:rPr>
          <w:rFonts w:cs="Times New Roman"/>
        </w:rPr>
        <w:tab/>
      </w:r>
      <w:r>
        <w:rPr>
          <w:rFonts w:cs="Times New Roman"/>
        </w:rPr>
        <w:t>до 2,92 кг/м2). Число синантроных видов снизилось с 7 до 4 на 100 м</w:t>
      </w:r>
      <w:r>
        <w:rPr>
          <w:rFonts w:cs="Times New Roman"/>
          <w:vertAlign w:val="superscript"/>
        </w:rPr>
        <w:t>2</w:t>
      </w:r>
      <w:r>
        <w:rPr>
          <w:rFonts w:cs="Times New Roman"/>
        </w:rPr>
        <w:t>.</w:t>
      </w:r>
    </w:p>
    <w:p w14:paraId="4A43413A">
      <w:pPr>
        <w:pStyle w:val="18"/>
        <w:numPr>
          <w:ilvl w:val="0"/>
          <w:numId w:val="8"/>
        </w:numPr>
        <w:spacing w:line="240" w:lineRule="auto"/>
        <w:jc w:val="both"/>
        <w:rPr>
          <w:rFonts w:cs="Times New Roman"/>
        </w:rPr>
      </w:pPr>
      <w:r>
        <w:rPr>
          <w:rFonts w:cs="Times New Roman"/>
        </w:rPr>
        <w:t xml:space="preserve">Расчет потока углекислого газа показал, что созданное нами растительное сообщество в среднем поглощает 150,98  мг\м2 углекислого газа за один час. Взятые для сравнения участки рулонного газона и обычного городского газона, наоборот выделяют </w:t>
      </w:r>
      <w:r>
        <w:rPr>
          <w:rFonts w:cs="Times New Roman"/>
          <w:lang w:val="en-US"/>
        </w:rPr>
        <w:t>CO</w:t>
      </w:r>
      <w:r>
        <w:rPr>
          <w:rFonts w:cs="Times New Roman"/>
        </w:rPr>
        <w:t>2</w:t>
      </w:r>
      <w:r>
        <w:t xml:space="preserve"> в атмосферу:  </w:t>
      </w:r>
      <w:r>
        <w:rPr>
          <w:rFonts w:cs="Times New Roman"/>
          <w:bCs/>
        </w:rPr>
        <w:t>246,1 мг\м</w:t>
      </w:r>
      <w:r>
        <w:rPr>
          <w:rFonts w:cs="Times New Roman"/>
          <w:bCs/>
          <w:vertAlign w:val="superscript"/>
        </w:rPr>
        <w:t>2</w:t>
      </w:r>
      <w:r>
        <w:rPr>
          <w:rFonts w:cs="Times New Roman"/>
          <w:bCs/>
        </w:rPr>
        <w:t xml:space="preserve"> и 670,21 мг\м</w:t>
      </w:r>
      <w:r>
        <w:rPr>
          <w:rFonts w:cs="Times New Roman"/>
          <w:bCs/>
          <w:vertAlign w:val="superscript"/>
        </w:rPr>
        <w:t>2</w:t>
      </w:r>
      <w:r>
        <w:t xml:space="preserve"> соответственно</w:t>
      </w:r>
      <w:r>
        <w:rPr>
          <w:rFonts w:cs="Times New Roman"/>
          <w:bCs/>
        </w:rPr>
        <w:t xml:space="preserve">. </w:t>
      </w:r>
      <w:r>
        <w:rPr>
          <w:rFonts w:cs="Times New Roman"/>
        </w:rPr>
        <w:t xml:space="preserve">За вегетационный сезон созданное сообщество поглощает </w:t>
      </w:r>
      <w:r>
        <w:rPr>
          <w:rFonts w:cs="Times New Roman"/>
          <w:bCs/>
        </w:rPr>
        <w:t>20 885 502 мг углекислого газа.</w:t>
      </w:r>
    </w:p>
    <w:p w14:paraId="4C1F40D0">
      <w:pPr>
        <w:pStyle w:val="18"/>
        <w:numPr>
          <w:ilvl w:val="0"/>
          <w:numId w:val="8"/>
        </w:numPr>
        <w:spacing w:line="240" w:lineRule="auto"/>
        <w:jc w:val="both"/>
        <w:rPr>
          <w:rFonts w:cs="Times New Roman"/>
        </w:rPr>
      </w:pPr>
      <w:r>
        <w:rPr>
          <w:rFonts w:cs="Times New Roman"/>
        </w:rPr>
        <w:t xml:space="preserve">Показана возможность масштабировать результаты работы на основные транспортные магистрали в городе, для задач декорбанизации городских экосистем. Так созданное травяное сообщество по представленной технологии на склоне по проспекту Салавата Юлаева в г.Уфе может поглощать 2,4 тонны </w:t>
      </w:r>
      <w:r>
        <w:rPr>
          <w:rFonts w:cs="Times New Roman"/>
          <w:lang w:val="en-US"/>
        </w:rPr>
        <w:t>CO</w:t>
      </w:r>
      <w:r>
        <w:rPr>
          <w:rFonts w:cs="Times New Roman"/>
        </w:rPr>
        <w:t xml:space="preserve">2, когда сейчас он, по расчетам, выделяет более 235 тонн  в год. </w:t>
      </w:r>
    </w:p>
    <w:p w14:paraId="26015395">
      <w:pPr>
        <w:pStyle w:val="18"/>
        <w:numPr>
          <w:ilvl w:val="0"/>
          <w:numId w:val="8"/>
        </w:numPr>
        <w:spacing w:line="240" w:lineRule="auto"/>
        <w:jc w:val="both"/>
        <w:rPr>
          <w:rFonts w:cs="Times New Roman"/>
        </w:rPr>
      </w:pPr>
      <w:r>
        <w:rPr>
          <w:rFonts w:cs="Times New Roman"/>
        </w:rPr>
        <w:t xml:space="preserve">Результаты работы показывают важность изучения процессов поглощения и выделения углерода в городе  и  перспективность создания городских карбоновых ферм. Применение природоподобных решений в озеленении позволяет существенно увеличить поглощение углекислого газа городскими экосистемами. </w:t>
      </w:r>
    </w:p>
    <w:p w14:paraId="504A95E1">
      <w:pPr>
        <w:jc w:val="both"/>
        <w:rPr>
          <w:rFonts w:cs="Times New Roman"/>
        </w:rPr>
      </w:pPr>
      <w:bookmarkStart w:id="0" w:name="_GoBack"/>
      <w:bookmarkEnd w:id="0"/>
    </w:p>
    <w:p w14:paraId="542BA29F">
      <w:pPr>
        <w:jc w:val="both"/>
        <w:rPr>
          <w:rFonts w:cs="Times New Roman"/>
        </w:rPr>
      </w:pPr>
    </w:p>
    <w:p w14:paraId="14845285">
      <w:pPr>
        <w:jc w:val="both"/>
        <w:rPr>
          <w:rFonts w:cs="Times New Roman"/>
        </w:rPr>
      </w:pPr>
    </w:p>
    <w:p w14:paraId="4D831616">
      <w:pPr>
        <w:jc w:val="both"/>
        <w:rPr>
          <w:rFonts w:cs="Times New Roman"/>
        </w:rPr>
      </w:pPr>
    </w:p>
    <w:p w14:paraId="333887A7">
      <w:pPr>
        <w:jc w:val="both"/>
        <w:rPr>
          <w:rFonts w:cs="Times New Roman"/>
        </w:rPr>
      </w:pPr>
    </w:p>
    <w:p w14:paraId="6EE8281F">
      <w:pPr>
        <w:jc w:val="both"/>
        <w:rPr>
          <w:rFonts w:cs="Times New Roman"/>
        </w:rPr>
      </w:pPr>
    </w:p>
    <w:p w14:paraId="458E2A4F">
      <w:pPr>
        <w:jc w:val="both"/>
        <w:rPr>
          <w:rFonts w:cs="Times New Roman"/>
        </w:rPr>
      </w:pPr>
    </w:p>
    <w:p w14:paraId="681920E0">
      <w:pPr>
        <w:jc w:val="both"/>
        <w:rPr>
          <w:rFonts w:cs="Times New Roman"/>
        </w:rPr>
      </w:pPr>
    </w:p>
    <w:p w14:paraId="154C1CF9">
      <w:pPr>
        <w:jc w:val="both"/>
        <w:rPr>
          <w:rFonts w:cs="Times New Roman"/>
        </w:rPr>
      </w:pPr>
    </w:p>
    <w:p w14:paraId="4F7218F9">
      <w:pPr>
        <w:jc w:val="both"/>
        <w:rPr>
          <w:rFonts w:cs="Times New Roman"/>
        </w:rPr>
      </w:pPr>
    </w:p>
    <w:p w14:paraId="73827F2F">
      <w:pPr>
        <w:jc w:val="both"/>
        <w:rPr>
          <w:rFonts w:cs="Times New Roman"/>
        </w:rPr>
      </w:pPr>
    </w:p>
    <w:p w14:paraId="00A2E227">
      <w:pPr>
        <w:jc w:val="both"/>
        <w:rPr>
          <w:rFonts w:cs="Times New Roman"/>
        </w:rPr>
      </w:pPr>
    </w:p>
    <w:p w14:paraId="735E0C76">
      <w:pPr>
        <w:jc w:val="center"/>
        <w:rPr>
          <w:rFonts w:cs="Times New Roman"/>
          <w:b/>
        </w:rPr>
      </w:pPr>
      <w:r>
        <w:rPr>
          <w:rFonts w:cs="Times New Roman"/>
          <w:b/>
        </w:rPr>
        <w:t>Литература</w:t>
      </w:r>
    </w:p>
    <w:p w14:paraId="1BF91203">
      <w:pPr>
        <w:numPr>
          <w:ilvl w:val="0"/>
          <w:numId w:val="9"/>
        </w:numPr>
        <w:spacing w:line="240" w:lineRule="auto"/>
        <w:ind w:left="425" w:leftChars="0" w:hanging="425" w:firstLineChars="0"/>
        <w:jc w:val="both"/>
        <w:rPr>
          <w:rFonts w:cs="Times New Roman"/>
        </w:rPr>
      </w:pPr>
      <w:r>
        <w:rPr>
          <w:rFonts w:cs="Times New Roman"/>
        </w:rPr>
        <w:t>Жудова П.П. Геоботаническое районирование Башкирской АССР. - Уфа,  1966. 123 с.</w:t>
      </w:r>
    </w:p>
    <w:p w14:paraId="1F5820CF">
      <w:pPr>
        <w:numPr>
          <w:ilvl w:val="0"/>
          <w:numId w:val="9"/>
        </w:numPr>
        <w:spacing w:line="240" w:lineRule="auto"/>
        <w:ind w:left="425" w:leftChars="0" w:hanging="425" w:firstLineChars="0"/>
        <w:jc w:val="both"/>
        <w:rPr>
          <w:rFonts w:cs="Times New Roman"/>
        </w:rPr>
      </w:pPr>
      <w:r>
        <w:rPr>
          <w:rFonts w:cs="Times New Roman"/>
        </w:rPr>
        <w:t>Кадильникова Е.И. Климат // Очерки по физической географии г. Уфы и его окрестностей (в помощь учителю). Уфа, 1970. С. 72-89.</w:t>
      </w:r>
    </w:p>
    <w:p w14:paraId="143BEB48">
      <w:pPr>
        <w:numPr>
          <w:ilvl w:val="0"/>
          <w:numId w:val="9"/>
        </w:numPr>
        <w:spacing w:line="240" w:lineRule="auto"/>
        <w:ind w:left="425" w:leftChars="0" w:hanging="425" w:firstLineChars="0"/>
        <w:jc w:val="both"/>
        <w:rPr>
          <w:rFonts w:cs="Times New Roman"/>
        </w:rPr>
      </w:pPr>
      <w:r>
        <w:rPr>
          <w:rFonts w:cs="Times New Roman"/>
        </w:rPr>
        <w:t>Климат Уфы.  Л.: Гидрометеоиздат, 1987. 118 с.</w:t>
      </w:r>
    </w:p>
    <w:p w14:paraId="2548DE4E">
      <w:pPr>
        <w:numPr>
          <w:ilvl w:val="0"/>
          <w:numId w:val="9"/>
        </w:numPr>
        <w:spacing w:line="240" w:lineRule="auto"/>
        <w:ind w:left="425" w:leftChars="0" w:hanging="425" w:firstLineChars="0"/>
        <w:jc w:val="both"/>
        <w:rPr>
          <w:rFonts w:cs="Times New Roman"/>
        </w:rPr>
      </w:pPr>
      <w:r>
        <w:rPr>
          <w:rFonts w:cs="Times New Roman"/>
        </w:rPr>
        <w:t>Мукатанов А.Х. Почвенно-экологическое районирование Республики Башкортостан (почвенно-экологические округа).  Уфа, 1994. 33 с.</w:t>
      </w:r>
    </w:p>
    <w:p w14:paraId="10054F31">
      <w:pPr>
        <w:numPr>
          <w:ilvl w:val="0"/>
          <w:numId w:val="9"/>
        </w:numPr>
        <w:spacing w:line="240" w:lineRule="auto"/>
        <w:ind w:left="425" w:leftChars="0" w:hanging="425" w:firstLineChars="0"/>
        <w:jc w:val="both"/>
        <w:rPr>
          <w:rFonts w:cs="Times New Roman"/>
        </w:rPr>
      </w:pPr>
      <w:r>
        <w:rPr>
          <w:rFonts w:cs="Times New Roman"/>
        </w:rPr>
        <w:t>Мулдашев А.А., Едрёнкина В.А., Миркин Б.М. Зеленая зона г. Уфы: современное состояние и проблемы // Вестник АН РБ, 2004. Т. 9. № 3. С. 73-77.</w:t>
      </w:r>
    </w:p>
    <w:p w14:paraId="0757016E">
      <w:pPr>
        <w:numPr>
          <w:ilvl w:val="0"/>
          <w:numId w:val="9"/>
        </w:numPr>
        <w:spacing w:line="240" w:lineRule="auto"/>
        <w:ind w:left="425" w:leftChars="0" w:hanging="425" w:firstLineChars="0"/>
        <w:jc w:val="both"/>
        <w:rPr>
          <w:rFonts w:cs="Times New Roman"/>
        </w:rPr>
      </w:pPr>
      <w:r>
        <w:rPr>
          <w:rFonts w:cs="Times New Roman"/>
        </w:rPr>
        <w:t>Определитель высших растений Башкирской АССР / Ю.Е. Алексеев, Е.Б. Алексеев, К.К. Габбасов и др. М.: Наука, 1988. 316 с.</w:t>
      </w:r>
    </w:p>
    <w:p w14:paraId="44393DA9">
      <w:pPr>
        <w:numPr>
          <w:ilvl w:val="0"/>
          <w:numId w:val="9"/>
        </w:numPr>
        <w:spacing w:line="240" w:lineRule="auto"/>
        <w:ind w:left="425" w:leftChars="0" w:hanging="425" w:firstLineChars="0"/>
        <w:jc w:val="both"/>
        <w:rPr>
          <w:rFonts w:cs="Times New Roman"/>
          <w:lang w:val="en-US"/>
        </w:rPr>
      </w:pPr>
      <w:r>
        <w:rPr>
          <w:rFonts w:cs="Times New Roman"/>
        </w:rPr>
        <w:t>Определитель высших растений Башкирской АССР / Ю.Е. Алексеев, А.Х. Галеева, И.А. Губанов и др. М</w:t>
      </w:r>
      <w:r>
        <w:rPr>
          <w:rFonts w:cs="Times New Roman"/>
          <w:lang w:val="en-US"/>
        </w:rPr>
        <w:t xml:space="preserve">.: </w:t>
      </w:r>
      <w:r>
        <w:rPr>
          <w:rFonts w:cs="Times New Roman"/>
        </w:rPr>
        <w:t>Наука</w:t>
      </w:r>
      <w:r>
        <w:rPr>
          <w:rFonts w:cs="Times New Roman"/>
          <w:lang w:val="en-US"/>
        </w:rPr>
        <w:t xml:space="preserve">, 1989. 375 </w:t>
      </w:r>
      <w:r>
        <w:rPr>
          <w:rFonts w:cs="Times New Roman"/>
        </w:rPr>
        <w:t>с</w:t>
      </w:r>
    </w:p>
    <w:p w14:paraId="3B867AC8">
      <w:pPr>
        <w:numPr>
          <w:ilvl w:val="0"/>
          <w:numId w:val="9"/>
        </w:numPr>
        <w:spacing w:line="240" w:lineRule="auto"/>
        <w:ind w:left="425" w:leftChars="0" w:hanging="425" w:firstLineChars="0"/>
        <w:jc w:val="both"/>
        <w:rPr>
          <w:rFonts w:cs="Times New Roman"/>
        </w:rPr>
      </w:pPr>
      <w:r>
        <w:rPr>
          <w:rFonts w:cs="Times New Roman"/>
          <w:lang w:val="en-US"/>
        </w:rPr>
        <w:t xml:space="preserve">Raciti S., Hutyra L., Rao P., Finzi A. Inconsistent definitions of “urban” result in different conclusions about the size of urban carbon and nitrogen stocks // Ecological Society of America. </w:t>
      </w:r>
      <w:r>
        <w:rPr>
          <w:rFonts w:cs="Times New Roman"/>
        </w:rPr>
        <w:t xml:space="preserve">2012. 22. </w:t>
      </w:r>
      <w:r>
        <w:rPr>
          <w:rFonts w:cs="Times New Roman"/>
          <w:lang w:val="en-US"/>
        </w:rPr>
        <w:t>P</w:t>
      </w:r>
      <w:r>
        <w:rPr>
          <w:rFonts w:cs="Times New Roman"/>
        </w:rPr>
        <w:t xml:space="preserve">.1015-35. </w:t>
      </w:r>
    </w:p>
    <w:p w14:paraId="5C25657A">
      <w:pPr>
        <w:numPr>
          <w:ilvl w:val="0"/>
          <w:numId w:val="9"/>
        </w:numPr>
        <w:spacing w:line="240" w:lineRule="auto"/>
        <w:ind w:left="425" w:leftChars="0" w:hanging="425" w:firstLineChars="0"/>
        <w:jc w:val="both"/>
        <w:rPr>
          <w:rFonts w:cs="Times New Roman"/>
          <w:lang w:val="en-US"/>
        </w:rPr>
      </w:pPr>
      <w:r>
        <w:rPr>
          <w:rFonts w:cs="Times New Roman"/>
        </w:rPr>
        <w:t xml:space="preserve">Шевелина И.В., Нагимов З.Я., Сальникова И.С., Нагимов В.З. Оценка запасов надземной фитомассы и углерод депонирующей способности сосновых древостоев в городских лесах г. Екатеринбурга // Известия Санкт-Петербургской лесотехнической академии. </w:t>
      </w:r>
      <w:r>
        <w:rPr>
          <w:rFonts w:cs="Times New Roman"/>
          <w:lang w:val="en-US"/>
        </w:rPr>
        <w:t>2025. C. 229-243.</w:t>
      </w:r>
    </w:p>
    <w:p w14:paraId="38E33903">
      <w:pPr>
        <w:numPr>
          <w:ilvl w:val="0"/>
          <w:numId w:val="9"/>
        </w:numPr>
        <w:spacing w:line="240" w:lineRule="auto"/>
        <w:ind w:left="425" w:leftChars="0" w:hanging="425" w:firstLineChars="0"/>
        <w:jc w:val="both"/>
        <w:rPr>
          <w:rFonts w:cs="Times New Roman"/>
          <w:lang w:val="en-US"/>
        </w:rPr>
      </w:pPr>
      <w:r>
        <w:rPr>
          <w:rFonts w:cs="Times New Roman"/>
          <w:lang w:val="en-US"/>
        </w:rPr>
        <w:t>Hutyra L., Yoon B., Alberti M.  Terrestrial carbon stocks across a gradient of urbanization: a study of the Seattle, WA region // Global Change Biology. 2011. 17(2). P. 783 – 797.</w:t>
      </w:r>
    </w:p>
    <w:p w14:paraId="48FEFF59">
      <w:pPr>
        <w:numPr>
          <w:ilvl w:val="0"/>
          <w:numId w:val="9"/>
        </w:numPr>
        <w:spacing w:line="240" w:lineRule="auto"/>
        <w:ind w:left="425" w:leftChars="0" w:hanging="425" w:firstLineChars="0"/>
        <w:jc w:val="both"/>
        <w:rPr>
          <w:rFonts w:cs="Times New Roman"/>
        </w:rPr>
      </w:pPr>
      <w:r>
        <w:rPr>
          <w:rFonts w:cs="Times New Roman"/>
          <w:lang w:val="en-US"/>
        </w:rPr>
        <w:t xml:space="preserve">Renforth P., Edmondson J., Leake J., Gaston K., Manning D. Designing a carbon capture function into urban soils // Urban Design and Planning. </w:t>
      </w:r>
      <w:r>
        <w:rPr>
          <w:rFonts w:cs="Times New Roman"/>
        </w:rPr>
        <w:t xml:space="preserve">2010. 164. </w:t>
      </w:r>
      <w:r>
        <w:rPr>
          <w:rFonts w:cs="Times New Roman"/>
          <w:lang w:val="en-US"/>
        </w:rPr>
        <w:t>P</w:t>
      </w:r>
      <w:r>
        <w:rPr>
          <w:rFonts w:cs="Times New Roman"/>
        </w:rPr>
        <w:t xml:space="preserve">.121-128. </w:t>
      </w:r>
    </w:p>
    <w:p w14:paraId="75BECDDC">
      <w:pPr>
        <w:numPr>
          <w:ilvl w:val="0"/>
          <w:numId w:val="9"/>
        </w:numPr>
        <w:spacing w:line="240" w:lineRule="auto"/>
        <w:ind w:left="425" w:leftChars="0" w:hanging="425" w:firstLineChars="0"/>
        <w:jc w:val="both"/>
        <w:rPr>
          <w:rFonts w:cs="Times New Roman"/>
        </w:rPr>
      </w:pPr>
      <w:r>
        <w:rPr>
          <w:rFonts w:cs="Times New Roman"/>
          <w:lang w:val="en-US"/>
        </w:rPr>
        <w:t>www</w:t>
      </w:r>
      <w:r>
        <w:rPr>
          <w:rFonts w:cs="Times New Roman"/>
        </w:rPr>
        <w:t xml:space="preserve">. </w:t>
      </w:r>
      <w:r>
        <w:rPr>
          <w:rFonts w:cs="Times New Roman"/>
          <w:lang w:val="en-US"/>
        </w:rPr>
        <w:t>carbon</w:t>
      </w:r>
      <w:r>
        <w:rPr>
          <w:rFonts w:cs="Times New Roman"/>
        </w:rPr>
        <w:t>-</w:t>
      </w:r>
      <w:r>
        <w:rPr>
          <w:rFonts w:cs="Times New Roman"/>
          <w:lang w:val="en-US"/>
        </w:rPr>
        <w:t>polygons</w:t>
      </w:r>
      <w:r>
        <w:rPr>
          <w:rFonts w:cs="Times New Roman"/>
        </w:rPr>
        <w:t>.</w:t>
      </w:r>
      <w:r>
        <w:rPr>
          <w:rFonts w:cs="Times New Roman"/>
          <w:lang w:val="en-US"/>
        </w:rPr>
        <w:t>ru</w:t>
      </w:r>
      <w:r>
        <w:rPr>
          <w:rFonts w:cs="Times New Roman"/>
        </w:rPr>
        <w:t xml:space="preserve"> – Карбоновые полигоны Российской Федерации.</w:t>
      </w:r>
    </w:p>
    <w:p w14:paraId="0ACF0FBF">
      <w:pPr>
        <w:numPr>
          <w:ilvl w:val="0"/>
          <w:numId w:val="9"/>
        </w:numPr>
        <w:spacing w:line="240" w:lineRule="auto"/>
        <w:ind w:left="425" w:leftChars="0" w:hanging="425" w:firstLineChars="0"/>
        <w:jc w:val="both"/>
        <w:rPr>
          <w:rFonts w:cs="Times New Roman"/>
          <w:lang w:val="en-US"/>
        </w:rPr>
      </w:pPr>
      <w:r>
        <w:rPr>
          <w:rFonts w:cs="Times New Roman"/>
        </w:rPr>
        <w:t xml:space="preserve">Белан Л.Н., Туктарова И.О., Бахтиярова Р.С., Арасланова Л.Х. Об опыте реализации исследований в области технологий декарбонизации в уфимском государственном нефтяном техническом университете // Наука и образование. </w:t>
      </w:r>
      <w:r>
        <w:rPr>
          <w:rFonts w:cs="Times New Roman"/>
          <w:lang w:val="en-US"/>
        </w:rPr>
        <w:t xml:space="preserve">2023. № S2-2 (71). </w:t>
      </w:r>
      <w:r>
        <w:rPr>
          <w:rFonts w:cs="Times New Roman"/>
        </w:rPr>
        <w:t>С</w:t>
      </w:r>
      <w:r>
        <w:rPr>
          <w:rFonts w:cs="Times New Roman"/>
          <w:lang w:val="en-US"/>
        </w:rPr>
        <w:t>. 561-570.</w:t>
      </w:r>
    </w:p>
    <w:p w14:paraId="4430FF61">
      <w:pPr>
        <w:numPr>
          <w:ilvl w:val="0"/>
          <w:numId w:val="9"/>
        </w:numPr>
        <w:spacing w:line="240" w:lineRule="auto"/>
        <w:ind w:left="425" w:leftChars="0" w:hanging="425" w:firstLineChars="0"/>
        <w:jc w:val="both"/>
        <w:rPr>
          <w:rFonts w:cs="Times New Roman"/>
        </w:rPr>
      </w:pPr>
      <w:r>
        <w:rPr>
          <w:rFonts w:cs="Times New Roman"/>
          <w:lang w:val="en-US"/>
        </w:rPr>
        <w:t xml:space="preserve">Smaliychuk A., Müller D., Prishchepov A., Levers C., Kruhlov I.,  Kuemmerle T. Recultivation of abandoned agricultural lands in Ukraine: Patterns and drivers. // Global Environmental Change. </w:t>
      </w:r>
      <w:r>
        <w:rPr>
          <w:rFonts w:cs="Times New Roman"/>
        </w:rPr>
        <w:t xml:space="preserve">2016. 38. </w:t>
      </w:r>
      <w:r>
        <w:rPr>
          <w:rFonts w:cs="Times New Roman"/>
          <w:lang w:val="en-US"/>
        </w:rPr>
        <w:t>P</w:t>
      </w:r>
      <w:r>
        <w:rPr>
          <w:rFonts w:cs="Times New Roman"/>
        </w:rPr>
        <w:t>.70-81.</w:t>
      </w:r>
    </w:p>
    <w:p w14:paraId="71992CE8">
      <w:pPr>
        <w:pStyle w:val="18"/>
        <w:numPr>
          <w:ilvl w:val="0"/>
          <w:numId w:val="9"/>
        </w:numPr>
        <w:spacing w:after="160" w:line="240" w:lineRule="auto"/>
        <w:ind w:left="425" w:leftChars="0" w:hanging="425" w:firstLineChars="0"/>
        <w:jc w:val="both"/>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Титлянова А.А. Продуктивность травяных экосистем. -Новосибирск: Наука. Сиб. отд.-е, 1988. — 109-128 С.</w:t>
      </w:r>
    </w:p>
    <w:p w14:paraId="4B0A7D3F">
      <w:pPr>
        <w:pStyle w:val="18"/>
        <w:numPr>
          <w:ilvl w:val="0"/>
          <w:numId w:val="9"/>
        </w:numPr>
        <w:spacing w:after="160" w:line="240" w:lineRule="auto"/>
        <w:ind w:left="425" w:leftChars="0" w:hanging="425" w:firstLineChars="0"/>
        <w:jc w:val="both"/>
        <w:rPr>
          <w:rFonts w:cs="Times New Roman"/>
          <w:color w:val="000000" w:themeColor="text1"/>
          <w:lang w:val="en-US"/>
          <w14:textFill>
            <w14:solidFill>
              <w14:schemeClr w14:val="tx1"/>
            </w14:solidFill>
          </w14:textFill>
        </w:rPr>
      </w:pPr>
      <w:r>
        <w:rPr>
          <w:rFonts w:eastAsia="Times New Roman" w:cs="Times New Roman"/>
          <w:color w:val="202124"/>
          <w:lang w:val="en-US" w:eastAsia="ru-RU"/>
        </w:rPr>
        <w:t>Hersbach, H., Bell, B., Berrisford, P., Hirahara, S., Horanyi, A., Munoz-Sabater, J., ... &amp; Thepaut, JN (2020). The ERA5 global reanalysis. Quarterly Journal of the Royal Meteorological Society, 146(730), 1999-2049.</w:t>
      </w:r>
      <w:r>
        <w:rPr>
          <w:rFonts w:eastAsia="Times New Roman" w:cs="Times New Roman"/>
          <w:color w:val="202124"/>
          <w:lang w:val="en-US" w:eastAsia="ru-RU"/>
        </w:rPr>
        <w:br w:type="textWrapping"/>
      </w:r>
    </w:p>
    <w:p w14:paraId="364D4633">
      <w:pPr>
        <w:ind w:firstLine="708"/>
        <w:jc w:val="both"/>
        <w:rPr>
          <w:rFonts w:cs="Times New Roman"/>
          <w:lang w:val="en-US"/>
        </w:rPr>
      </w:pPr>
    </w:p>
    <w:sectPr>
      <w:footerReference r:id="rId5" w:type="default"/>
      <w:pgSz w:w="11906" w:h="16838"/>
      <w:pgMar w:top="1134" w:right="680" w:bottom="680" w:left="1417" w:header="709" w:footer="709" w:gutter="0"/>
      <w:cols w:space="708" w:num="1"/>
      <w:titlePg/>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Tahoma">
    <w:panose1 w:val="020B0604030504040204"/>
    <w:charset w:val="CC"/>
    <w:family w:val="swiss"/>
    <w:pitch w:val="default"/>
    <w:sig w:usb0="E1002EFF" w:usb1="C000605B" w:usb2="00000029" w:usb3="00000000" w:csb0="200101FF" w:csb1="20280000"/>
  </w:font>
  <w:font w:name="+mj-ea">
    <w:altName w:val="Segoe Print"/>
    <w:panose1 w:val="00000000000000000000"/>
    <w:charset w:val="00"/>
    <w:family w:val="roman"/>
    <w:pitch w:val="default"/>
    <w:sig w:usb0="00000000" w:usb1="00000000" w:usb2="00000000" w:usb3="00000000" w:csb0="00000000" w:csb1="0000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auto"/>
    <w:pitch w:val="default"/>
    <w:sig w:usb0="E4002EFF" w:usb1="C000247B" w:usb2="00000009" w:usb3="00000000" w:csb0="200001FF"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03082189"/>
      <w:docPartObj>
        <w:docPartGallery w:val="autotext"/>
      </w:docPartObj>
    </w:sdtPr>
    <w:sdtContent>
      <w:p w14:paraId="40095662">
        <w:pPr>
          <w:pStyle w:val="13"/>
          <w:jc w:val="right"/>
        </w:pPr>
        <w:r>
          <w:fldChar w:fldCharType="begin"/>
        </w:r>
        <w:r>
          <w:instrText xml:space="preserve">PAGE   \* MERGEFORMAT</w:instrText>
        </w:r>
        <w:r>
          <w:fldChar w:fldCharType="separate"/>
        </w:r>
        <w:r>
          <w:t>24</w:t>
        </w:r>
        <w:r>
          <w:fldChar w:fldCharType="end"/>
        </w:r>
      </w:p>
    </w:sdtContent>
  </w:sdt>
  <w:p w14:paraId="62F41118">
    <w:pPr>
      <w:pStyle w:val="1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B226E92"/>
    <w:multiLevelType w:val="singleLevel"/>
    <w:tmpl w:val="EB226E92"/>
    <w:lvl w:ilvl="0" w:tentative="0">
      <w:start w:val="1"/>
      <w:numFmt w:val="decimal"/>
      <w:lvlText w:val="%1."/>
      <w:lvlJc w:val="left"/>
      <w:pPr>
        <w:tabs>
          <w:tab w:val="left" w:pos="425"/>
        </w:tabs>
        <w:ind w:left="425" w:leftChars="0" w:hanging="425" w:firstLineChars="0"/>
      </w:pPr>
      <w:rPr>
        <w:rFonts w:hint="default"/>
      </w:rPr>
    </w:lvl>
  </w:abstractNum>
  <w:abstractNum w:abstractNumId="1">
    <w:nsid w:val="02693575"/>
    <w:multiLevelType w:val="multilevel"/>
    <w:tmpl w:val="02693575"/>
    <w:lvl w:ilvl="0" w:tentative="0">
      <w:start w:val="1"/>
      <w:numFmt w:val="decimal"/>
      <w:lvlText w:val="%1."/>
      <w:lvlJc w:val="left"/>
      <w:pPr>
        <w:ind w:left="450" w:hanging="450"/>
      </w:pPr>
      <w:rPr>
        <w:rFonts w:hint="default"/>
      </w:rPr>
    </w:lvl>
    <w:lvl w:ilvl="1" w:tentative="0">
      <w:start w:val="1"/>
      <w:numFmt w:val="decimal"/>
      <w:lvlText w:val="%1.%2."/>
      <w:lvlJc w:val="left"/>
      <w:pPr>
        <w:ind w:left="720" w:hanging="72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800" w:hanging="1800"/>
      </w:pPr>
      <w:rPr>
        <w:rFonts w:hint="default"/>
      </w:rPr>
    </w:lvl>
    <w:lvl w:ilvl="7" w:tentative="0">
      <w:start w:val="1"/>
      <w:numFmt w:val="decimal"/>
      <w:lvlText w:val="%1.%2.%3.%4.%5.%6.%7.%8."/>
      <w:lvlJc w:val="left"/>
      <w:pPr>
        <w:ind w:left="1800" w:hanging="1800"/>
      </w:pPr>
      <w:rPr>
        <w:rFonts w:hint="default"/>
      </w:rPr>
    </w:lvl>
    <w:lvl w:ilvl="8" w:tentative="0">
      <w:start w:val="1"/>
      <w:numFmt w:val="decimal"/>
      <w:lvlText w:val="%1.%2.%3.%4.%5.%6.%7.%8.%9."/>
      <w:lvlJc w:val="left"/>
      <w:pPr>
        <w:ind w:left="2160" w:hanging="2160"/>
      </w:pPr>
      <w:rPr>
        <w:rFonts w:hint="default"/>
      </w:rPr>
    </w:lvl>
  </w:abstractNum>
  <w:abstractNum w:abstractNumId="2">
    <w:nsid w:val="03660421"/>
    <w:multiLevelType w:val="multilevel"/>
    <w:tmpl w:val="03660421"/>
    <w:lvl w:ilvl="0" w:tentative="0">
      <w:start w:val="1"/>
      <w:numFmt w:val="decimal"/>
      <w:lvlText w:val="%1."/>
      <w:lvlJc w:val="left"/>
      <w:pPr>
        <w:ind w:left="1068" w:hanging="360"/>
      </w:pPr>
      <w:rPr>
        <w:rFonts w:hint="default"/>
        <w:b w:val="0"/>
      </w:rPr>
    </w:lvl>
    <w:lvl w:ilvl="1" w:tentative="0">
      <w:start w:val="1"/>
      <w:numFmt w:val="lowerLetter"/>
      <w:lvlText w:val="%2."/>
      <w:lvlJc w:val="left"/>
      <w:pPr>
        <w:ind w:left="1788" w:hanging="360"/>
      </w:pPr>
    </w:lvl>
    <w:lvl w:ilvl="2" w:tentative="0">
      <w:start w:val="1"/>
      <w:numFmt w:val="lowerRoman"/>
      <w:lvlText w:val="%3."/>
      <w:lvlJc w:val="right"/>
      <w:pPr>
        <w:ind w:left="2508" w:hanging="180"/>
      </w:pPr>
    </w:lvl>
    <w:lvl w:ilvl="3" w:tentative="0">
      <w:start w:val="1"/>
      <w:numFmt w:val="decimal"/>
      <w:lvlText w:val="%4."/>
      <w:lvlJc w:val="left"/>
      <w:pPr>
        <w:ind w:left="3228" w:hanging="360"/>
      </w:pPr>
    </w:lvl>
    <w:lvl w:ilvl="4" w:tentative="0">
      <w:start w:val="1"/>
      <w:numFmt w:val="lowerLetter"/>
      <w:lvlText w:val="%5."/>
      <w:lvlJc w:val="left"/>
      <w:pPr>
        <w:ind w:left="3948" w:hanging="360"/>
      </w:pPr>
    </w:lvl>
    <w:lvl w:ilvl="5" w:tentative="0">
      <w:start w:val="1"/>
      <w:numFmt w:val="lowerRoman"/>
      <w:lvlText w:val="%6."/>
      <w:lvlJc w:val="right"/>
      <w:pPr>
        <w:ind w:left="4668" w:hanging="180"/>
      </w:pPr>
    </w:lvl>
    <w:lvl w:ilvl="6" w:tentative="0">
      <w:start w:val="1"/>
      <w:numFmt w:val="decimal"/>
      <w:lvlText w:val="%7."/>
      <w:lvlJc w:val="left"/>
      <w:pPr>
        <w:ind w:left="5388" w:hanging="360"/>
      </w:pPr>
    </w:lvl>
    <w:lvl w:ilvl="7" w:tentative="0">
      <w:start w:val="1"/>
      <w:numFmt w:val="lowerLetter"/>
      <w:lvlText w:val="%8."/>
      <w:lvlJc w:val="left"/>
      <w:pPr>
        <w:ind w:left="6108" w:hanging="360"/>
      </w:pPr>
    </w:lvl>
    <w:lvl w:ilvl="8" w:tentative="0">
      <w:start w:val="1"/>
      <w:numFmt w:val="lowerRoman"/>
      <w:lvlText w:val="%9."/>
      <w:lvlJc w:val="right"/>
      <w:pPr>
        <w:ind w:left="6828" w:hanging="180"/>
      </w:pPr>
    </w:lvl>
  </w:abstractNum>
  <w:abstractNum w:abstractNumId="3">
    <w:nsid w:val="181C111C"/>
    <w:multiLevelType w:val="multilevel"/>
    <w:tmpl w:val="181C111C"/>
    <w:lvl w:ilvl="0" w:tentative="0">
      <w:start w:val="1"/>
      <w:numFmt w:val="bullet"/>
      <w:lvlText w:val=""/>
      <w:lvlJc w:val="left"/>
      <w:pPr>
        <w:ind w:left="1637" w:hanging="360"/>
      </w:pPr>
      <w:rPr>
        <w:rFonts w:hint="default" w:ascii="Symbol" w:hAnsi="Symbol"/>
      </w:rPr>
    </w:lvl>
    <w:lvl w:ilvl="1" w:tentative="0">
      <w:start w:val="1"/>
      <w:numFmt w:val="bullet"/>
      <w:lvlText w:val="o"/>
      <w:lvlJc w:val="left"/>
      <w:pPr>
        <w:ind w:left="2357" w:hanging="360"/>
      </w:pPr>
      <w:rPr>
        <w:rFonts w:hint="default" w:ascii="Courier New" w:hAnsi="Courier New" w:cs="Courier New"/>
      </w:rPr>
    </w:lvl>
    <w:lvl w:ilvl="2" w:tentative="0">
      <w:start w:val="1"/>
      <w:numFmt w:val="bullet"/>
      <w:lvlText w:val=""/>
      <w:lvlJc w:val="left"/>
      <w:pPr>
        <w:ind w:left="3077" w:hanging="360"/>
      </w:pPr>
      <w:rPr>
        <w:rFonts w:hint="default" w:ascii="Wingdings" w:hAnsi="Wingdings"/>
      </w:rPr>
    </w:lvl>
    <w:lvl w:ilvl="3" w:tentative="0">
      <w:start w:val="1"/>
      <w:numFmt w:val="bullet"/>
      <w:lvlText w:val=""/>
      <w:lvlJc w:val="left"/>
      <w:pPr>
        <w:ind w:left="3797" w:hanging="360"/>
      </w:pPr>
      <w:rPr>
        <w:rFonts w:hint="default" w:ascii="Symbol" w:hAnsi="Symbol"/>
      </w:rPr>
    </w:lvl>
    <w:lvl w:ilvl="4" w:tentative="0">
      <w:start w:val="1"/>
      <w:numFmt w:val="bullet"/>
      <w:lvlText w:val="o"/>
      <w:lvlJc w:val="left"/>
      <w:pPr>
        <w:ind w:left="4517" w:hanging="360"/>
      </w:pPr>
      <w:rPr>
        <w:rFonts w:hint="default" w:ascii="Courier New" w:hAnsi="Courier New" w:cs="Courier New"/>
      </w:rPr>
    </w:lvl>
    <w:lvl w:ilvl="5" w:tentative="0">
      <w:start w:val="1"/>
      <w:numFmt w:val="bullet"/>
      <w:lvlText w:val=""/>
      <w:lvlJc w:val="left"/>
      <w:pPr>
        <w:ind w:left="5237" w:hanging="360"/>
      </w:pPr>
      <w:rPr>
        <w:rFonts w:hint="default" w:ascii="Wingdings" w:hAnsi="Wingdings"/>
      </w:rPr>
    </w:lvl>
    <w:lvl w:ilvl="6" w:tentative="0">
      <w:start w:val="1"/>
      <w:numFmt w:val="bullet"/>
      <w:lvlText w:val=""/>
      <w:lvlJc w:val="left"/>
      <w:pPr>
        <w:ind w:left="5957" w:hanging="360"/>
      </w:pPr>
      <w:rPr>
        <w:rFonts w:hint="default" w:ascii="Symbol" w:hAnsi="Symbol"/>
      </w:rPr>
    </w:lvl>
    <w:lvl w:ilvl="7" w:tentative="0">
      <w:start w:val="1"/>
      <w:numFmt w:val="bullet"/>
      <w:lvlText w:val="o"/>
      <w:lvlJc w:val="left"/>
      <w:pPr>
        <w:ind w:left="6677" w:hanging="360"/>
      </w:pPr>
      <w:rPr>
        <w:rFonts w:hint="default" w:ascii="Courier New" w:hAnsi="Courier New" w:cs="Courier New"/>
      </w:rPr>
    </w:lvl>
    <w:lvl w:ilvl="8" w:tentative="0">
      <w:start w:val="1"/>
      <w:numFmt w:val="bullet"/>
      <w:lvlText w:val=""/>
      <w:lvlJc w:val="left"/>
      <w:pPr>
        <w:ind w:left="7397" w:hanging="360"/>
      </w:pPr>
      <w:rPr>
        <w:rFonts w:hint="default" w:ascii="Wingdings" w:hAnsi="Wingdings"/>
      </w:rPr>
    </w:lvl>
  </w:abstractNum>
  <w:abstractNum w:abstractNumId="4">
    <w:nsid w:val="24E80DB9"/>
    <w:multiLevelType w:val="multilevel"/>
    <w:tmpl w:val="24E80DB9"/>
    <w:lvl w:ilvl="0" w:tentative="0">
      <w:start w:val="1"/>
      <w:numFmt w:val="decimal"/>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5">
    <w:nsid w:val="3FCB7FF9"/>
    <w:multiLevelType w:val="multilevel"/>
    <w:tmpl w:val="3FCB7FF9"/>
    <w:lvl w:ilvl="0" w:tentative="0">
      <w:start w:val="1"/>
      <w:numFmt w:val="decimal"/>
      <w:lvlText w:val="%1."/>
      <w:lvlJc w:val="left"/>
      <w:pPr>
        <w:ind w:left="1068" w:hanging="360"/>
      </w:pPr>
      <w:rPr>
        <w:rFonts w:hint="default"/>
      </w:rPr>
    </w:lvl>
    <w:lvl w:ilvl="1" w:tentative="0">
      <w:start w:val="1"/>
      <w:numFmt w:val="decimal"/>
      <w:isLgl/>
      <w:lvlText w:val="%1.%2."/>
      <w:lvlJc w:val="left"/>
      <w:pPr>
        <w:ind w:left="1429" w:hanging="720"/>
      </w:pPr>
      <w:rPr>
        <w:rFonts w:hint="default"/>
        <w:b/>
      </w:rPr>
    </w:lvl>
    <w:lvl w:ilvl="2" w:tentative="0">
      <w:start w:val="1"/>
      <w:numFmt w:val="decimal"/>
      <w:isLgl/>
      <w:lvlText w:val="%1.%2.%3."/>
      <w:lvlJc w:val="left"/>
      <w:pPr>
        <w:ind w:left="1430" w:hanging="720"/>
      </w:pPr>
      <w:rPr>
        <w:rFonts w:hint="default"/>
      </w:rPr>
    </w:lvl>
    <w:lvl w:ilvl="3" w:tentative="0">
      <w:start w:val="1"/>
      <w:numFmt w:val="decimal"/>
      <w:isLgl/>
      <w:lvlText w:val="%1.%2.%3.%4."/>
      <w:lvlJc w:val="left"/>
      <w:pPr>
        <w:ind w:left="1791" w:hanging="1080"/>
      </w:pPr>
      <w:rPr>
        <w:rFonts w:hint="default"/>
      </w:rPr>
    </w:lvl>
    <w:lvl w:ilvl="4" w:tentative="0">
      <w:start w:val="1"/>
      <w:numFmt w:val="decimal"/>
      <w:isLgl/>
      <w:lvlText w:val="%1.%2.%3.%4.%5."/>
      <w:lvlJc w:val="left"/>
      <w:pPr>
        <w:ind w:left="1792" w:hanging="1080"/>
      </w:pPr>
      <w:rPr>
        <w:rFonts w:hint="default"/>
      </w:rPr>
    </w:lvl>
    <w:lvl w:ilvl="5" w:tentative="0">
      <w:start w:val="1"/>
      <w:numFmt w:val="decimal"/>
      <w:isLgl/>
      <w:lvlText w:val="%1.%2.%3.%4.%5.%6."/>
      <w:lvlJc w:val="left"/>
      <w:pPr>
        <w:ind w:left="2153" w:hanging="1440"/>
      </w:pPr>
      <w:rPr>
        <w:rFonts w:hint="default"/>
      </w:rPr>
    </w:lvl>
    <w:lvl w:ilvl="6" w:tentative="0">
      <w:start w:val="1"/>
      <w:numFmt w:val="decimal"/>
      <w:isLgl/>
      <w:lvlText w:val="%1.%2.%3.%4.%5.%6.%7."/>
      <w:lvlJc w:val="left"/>
      <w:pPr>
        <w:ind w:left="2514" w:hanging="1800"/>
      </w:pPr>
      <w:rPr>
        <w:rFonts w:hint="default"/>
      </w:rPr>
    </w:lvl>
    <w:lvl w:ilvl="7" w:tentative="0">
      <w:start w:val="1"/>
      <w:numFmt w:val="decimal"/>
      <w:isLgl/>
      <w:lvlText w:val="%1.%2.%3.%4.%5.%6.%7.%8."/>
      <w:lvlJc w:val="left"/>
      <w:pPr>
        <w:ind w:left="2515" w:hanging="1800"/>
      </w:pPr>
      <w:rPr>
        <w:rFonts w:hint="default"/>
      </w:rPr>
    </w:lvl>
    <w:lvl w:ilvl="8" w:tentative="0">
      <w:start w:val="1"/>
      <w:numFmt w:val="decimal"/>
      <w:isLgl/>
      <w:lvlText w:val="%1.%2.%3.%4.%5.%6.%7.%8.%9."/>
      <w:lvlJc w:val="left"/>
      <w:pPr>
        <w:ind w:left="2876" w:hanging="2160"/>
      </w:pPr>
      <w:rPr>
        <w:rFonts w:hint="default"/>
      </w:rPr>
    </w:lvl>
  </w:abstractNum>
  <w:abstractNum w:abstractNumId="6">
    <w:nsid w:val="51916262"/>
    <w:multiLevelType w:val="multilevel"/>
    <w:tmpl w:val="51916262"/>
    <w:lvl w:ilvl="0" w:tentative="0">
      <w:start w:val="1"/>
      <w:numFmt w:val="decimal"/>
      <w:lvlText w:val="%1."/>
      <w:lvlJc w:val="left"/>
      <w:pPr>
        <w:ind w:left="450" w:hanging="450"/>
      </w:pPr>
      <w:rPr>
        <w:rFonts w:hint="default"/>
      </w:rPr>
    </w:lvl>
    <w:lvl w:ilvl="1" w:tentative="0">
      <w:start w:val="1"/>
      <w:numFmt w:val="decimal"/>
      <w:lvlText w:val="%1.%2."/>
      <w:lvlJc w:val="left"/>
      <w:pPr>
        <w:ind w:left="720" w:hanging="72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800" w:hanging="1800"/>
      </w:pPr>
      <w:rPr>
        <w:rFonts w:hint="default"/>
      </w:rPr>
    </w:lvl>
    <w:lvl w:ilvl="7" w:tentative="0">
      <w:start w:val="1"/>
      <w:numFmt w:val="decimal"/>
      <w:lvlText w:val="%1.%2.%3.%4.%5.%6.%7.%8."/>
      <w:lvlJc w:val="left"/>
      <w:pPr>
        <w:ind w:left="1800" w:hanging="1800"/>
      </w:pPr>
      <w:rPr>
        <w:rFonts w:hint="default"/>
      </w:rPr>
    </w:lvl>
    <w:lvl w:ilvl="8" w:tentative="0">
      <w:start w:val="1"/>
      <w:numFmt w:val="decimal"/>
      <w:lvlText w:val="%1.%2.%3.%4.%5.%6.%7.%8.%9."/>
      <w:lvlJc w:val="left"/>
      <w:pPr>
        <w:ind w:left="2160" w:hanging="2160"/>
      </w:pPr>
      <w:rPr>
        <w:rFonts w:hint="default"/>
      </w:rPr>
    </w:lvl>
  </w:abstractNum>
  <w:abstractNum w:abstractNumId="7">
    <w:nsid w:val="688A4787"/>
    <w:multiLevelType w:val="multilevel"/>
    <w:tmpl w:val="688A4787"/>
    <w:lvl w:ilvl="0" w:tentative="0">
      <w:start w:val="1"/>
      <w:numFmt w:val="decimal"/>
      <w:lvlText w:val="%1."/>
      <w:lvlJc w:val="left"/>
      <w:pPr>
        <w:ind w:left="1068" w:hanging="360"/>
      </w:pPr>
      <w:rPr>
        <w:rFonts w:hint="default"/>
      </w:rPr>
    </w:lvl>
    <w:lvl w:ilvl="1" w:tentative="0">
      <w:start w:val="1"/>
      <w:numFmt w:val="lowerLetter"/>
      <w:lvlText w:val="%2."/>
      <w:lvlJc w:val="left"/>
      <w:pPr>
        <w:ind w:left="1788" w:hanging="360"/>
      </w:pPr>
    </w:lvl>
    <w:lvl w:ilvl="2" w:tentative="0">
      <w:start w:val="1"/>
      <w:numFmt w:val="lowerRoman"/>
      <w:lvlText w:val="%3."/>
      <w:lvlJc w:val="right"/>
      <w:pPr>
        <w:ind w:left="2508" w:hanging="180"/>
      </w:pPr>
    </w:lvl>
    <w:lvl w:ilvl="3" w:tentative="0">
      <w:start w:val="1"/>
      <w:numFmt w:val="decimal"/>
      <w:lvlText w:val="%4."/>
      <w:lvlJc w:val="left"/>
      <w:pPr>
        <w:ind w:left="3228" w:hanging="360"/>
      </w:pPr>
    </w:lvl>
    <w:lvl w:ilvl="4" w:tentative="0">
      <w:start w:val="1"/>
      <w:numFmt w:val="lowerLetter"/>
      <w:lvlText w:val="%5."/>
      <w:lvlJc w:val="left"/>
      <w:pPr>
        <w:ind w:left="3948" w:hanging="360"/>
      </w:pPr>
    </w:lvl>
    <w:lvl w:ilvl="5" w:tentative="0">
      <w:start w:val="1"/>
      <w:numFmt w:val="lowerRoman"/>
      <w:lvlText w:val="%6."/>
      <w:lvlJc w:val="right"/>
      <w:pPr>
        <w:ind w:left="4668" w:hanging="180"/>
      </w:pPr>
    </w:lvl>
    <w:lvl w:ilvl="6" w:tentative="0">
      <w:start w:val="1"/>
      <w:numFmt w:val="decimal"/>
      <w:lvlText w:val="%7."/>
      <w:lvlJc w:val="left"/>
      <w:pPr>
        <w:ind w:left="5388" w:hanging="360"/>
      </w:pPr>
    </w:lvl>
    <w:lvl w:ilvl="7" w:tentative="0">
      <w:start w:val="1"/>
      <w:numFmt w:val="lowerLetter"/>
      <w:lvlText w:val="%8."/>
      <w:lvlJc w:val="left"/>
      <w:pPr>
        <w:ind w:left="6108" w:hanging="360"/>
      </w:pPr>
    </w:lvl>
    <w:lvl w:ilvl="8" w:tentative="0">
      <w:start w:val="1"/>
      <w:numFmt w:val="lowerRoman"/>
      <w:lvlText w:val="%9."/>
      <w:lvlJc w:val="right"/>
      <w:pPr>
        <w:ind w:left="6828" w:hanging="180"/>
      </w:pPr>
    </w:lvl>
  </w:abstractNum>
  <w:abstractNum w:abstractNumId="8">
    <w:nsid w:val="6C6D58E5"/>
    <w:multiLevelType w:val="multilevel"/>
    <w:tmpl w:val="6C6D58E5"/>
    <w:lvl w:ilvl="0" w:tentative="0">
      <w:start w:val="1"/>
      <w:numFmt w:val="decimal"/>
      <w:lvlText w:val="%1."/>
      <w:lvlJc w:val="left"/>
      <w:pPr>
        <w:ind w:left="36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6"/>
  </w:num>
  <w:num w:numId="2">
    <w:abstractNumId w:val="5"/>
  </w:num>
  <w:num w:numId="3">
    <w:abstractNumId w:val="1"/>
  </w:num>
  <w:num w:numId="4">
    <w:abstractNumId w:val="4"/>
  </w:num>
  <w:num w:numId="5">
    <w:abstractNumId w:val="2"/>
  </w:num>
  <w:num w:numId="6">
    <w:abstractNumId w:val="7"/>
  </w:num>
  <w:num w:numId="7">
    <w:abstractNumId w:val="3"/>
  </w:num>
  <w:num w:numId="8">
    <w:abstractNumId w:val="8"/>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hideSpellingErrors/>
  <w:hideGrammaticalErrors/>
  <w:documentProtection w:enforcement="0"/>
  <w:defaultTabStop w:val="708"/>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3A08"/>
    <w:rsid w:val="000005F0"/>
    <w:rsid w:val="00002F26"/>
    <w:rsid w:val="00010900"/>
    <w:rsid w:val="00015041"/>
    <w:rsid w:val="00015103"/>
    <w:rsid w:val="0004121D"/>
    <w:rsid w:val="000444E5"/>
    <w:rsid w:val="00045A42"/>
    <w:rsid w:val="000465EA"/>
    <w:rsid w:val="00051892"/>
    <w:rsid w:val="000527D1"/>
    <w:rsid w:val="00052F82"/>
    <w:rsid w:val="0005401A"/>
    <w:rsid w:val="00060779"/>
    <w:rsid w:val="000708F1"/>
    <w:rsid w:val="00076FC2"/>
    <w:rsid w:val="000831BD"/>
    <w:rsid w:val="00083CD4"/>
    <w:rsid w:val="000848E7"/>
    <w:rsid w:val="00085714"/>
    <w:rsid w:val="0008673E"/>
    <w:rsid w:val="000867D2"/>
    <w:rsid w:val="00086C3A"/>
    <w:rsid w:val="000877E3"/>
    <w:rsid w:val="00090A89"/>
    <w:rsid w:val="00091E45"/>
    <w:rsid w:val="000963F1"/>
    <w:rsid w:val="000B45DE"/>
    <w:rsid w:val="000C7EF4"/>
    <w:rsid w:val="000D6B4F"/>
    <w:rsid w:val="000D71F9"/>
    <w:rsid w:val="000E02EA"/>
    <w:rsid w:val="000E556D"/>
    <w:rsid w:val="000E6B59"/>
    <w:rsid w:val="000F1CDB"/>
    <w:rsid w:val="000F403F"/>
    <w:rsid w:val="000F5EE7"/>
    <w:rsid w:val="000F7A22"/>
    <w:rsid w:val="000F7D7F"/>
    <w:rsid w:val="00101A83"/>
    <w:rsid w:val="001071FA"/>
    <w:rsid w:val="0010798B"/>
    <w:rsid w:val="00112B9D"/>
    <w:rsid w:val="00113ACE"/>
    <w:rsid w:val="00116A29"/>
    <w:rsid w:val="001222A3"/>
    <w:rsid w:val="00132722"/>
    <w:rsid w:val="00151E41"/>
    <w:rsid w:val="0015614A"/>
    <w:rsid w:val="00161BAD"/>
    <w:rsid w:val="00164F68"/>
    <w:rsid w:val="0017083B"/>
    <w:rsid w:val="00171281"/>
    <w:rsid w:val="00176B2E"/>
    <w:rsid w:val="00177F99"/>
    <w:rsid w:val="00191009"/>
    <w:rsid w:val="00192F80"/>
    <w:rsid w:val="001B2336"/>
    <w:rsid w:val="001B5971"/>
    <w:rsid w:val="001B7700"/>
    <w:rsid w:val="001C3EDC"/>
    <w:rsid w:val="001D3AA5"/>
    <w:rsid w:val="001E1A44"/>
    <w:rsid w:val="001F1BAB"/>
    <w:rsid w:val="001F277B"/>
    <w:rsid w:val="001F4FD0"/>
    <w:rsid w:val="002008B5"/>
    <w:rsid w:val="00201190"/>
    <w:rsid w:val="0020496D"/>
    <w:rsid w:val="00205033"/>
    <w:rsid w:val="002109FE"/>
    <w:rsid w:val="00216BFC"/>
    <w:rsid w:val="00217539"/>
    <w:rsid w:val="00217F5B"/>
    <w:rsid w:val="00220B92"/>
    <w:rsid w:val="002210B4"/>
    <w:rsid w:val="002217C1"/>
    <w:rsid w:val="00222767"/>
    <w:rsid w:val="00222845"/>
    <w:rsid w:val="00224C02"/>
    <w:rsid w:val="002259A8"/>
    <w:rsid w:val="00231658"/>
    <w:rsid w:val="002340D4"/>
    <w:rsid w:val="002360AB"/>
    <w:rsid w:val="00243E72"/>
    <w:rsid w:val="002469D7"/>
    <w:rsid w:val="00253D7B"/>
    <w:rsid w:val="002555B4"/>
    <w:rsid w:val="002563D4"/>
    <w:rsid w:val="00257AEC"/>
    <w:rsid w:val="00261648"/>
    <w:rsid w:val="00264873"/>
    <w:rsid w:val="00270740"/>
    <w:rsid w:val="00271B9D"/>
    <w:rsid w:val="00281F9D"/>
    <w:rsid w:val="00285EF2"/>
    <w:rsid w:val="002943F6"/>
    <w:rsid w:val="00295C4C"/>
    <w:rsid w:val="002A07C8"/>
    <w:rsid w:val="002B36B9"/>
    <w:rsid w:val="002C3080"/>
    <w:rsid w:val="002C3747"/>
    <w:rsid w:val="002C462E"/>
    <w:rsid w:val="002C6AA3"/>
    <w:rsid w:val="002C7114"/>
    <w:rsid w:val="002D0955"/>
    <w:rsid w:val="002D485E"/>
    <w:rsid w:val="002D6DD7"/>
    <w:rsid w:val="002E1D8B"/>
    <w:rsid w:val="002E76D6"/>
    <w:rsid w:val="002E7D8E"/>
    <w:rsid w:val="002F0D84"/>
    <w:rsid w:val="002F16D9"/>
    <w:rsid w:val="002F3C09"/>
    <w:rsid w:val="002F4934"/>
    <w:rsid w:val="002F5D57"/>
    <w:rsid w:val="002F660C"/>
    <w:rsid w:val="002F6D82"/>
    <w:rsid w:val="0030054D"/>
    <w:rsid w:val="00301D74"/>
    <w:rsid w:val="00304862"/>
    <w:rsid w:val="00305668"/>
    <w:rsid w:val="00305C81"/>
    <w:rsid w:val="00310A8D"/>
    <w:rsid w:val="00320BC9"/>
    <w:rsid w:val="00323837"/>
    <w:rsid w:val="003260ED"/>
    <w:rsid w:val="00330642"/>
    <w:rsid w:val="00334BF1"/>
    <w:rsid w:val="00340B43"/>
    <w:rsid w:val="00343998"/>
    <w:rsid w:val="0036020C"/>
    <w:rsid w:val="00361392"/>
    <w:rsid w:val="00362271"/>
    <w:rsid w:val="00364BAE"/>
    <w:rsid w:val="00365F9E"/>
    <w:rsid w:val="00370C21"/>
    <w:rsid w:val="00373AC4"/>
    <w:rsid w:val="00374B66"/>
    <w:rsid w:val="00382265"/>
    <w:rsid w:val="00391916"/>
    <w:rsid w:val="00396242"/>
    <w:rsid w:val="0039789E"/>
    <w:rsid w:val="003A1158"/>
    <w:rsid w:val="003A2DCD"/>
    <w:rsid w:val="003A50D3"/>
    <w:rsid w:val="003A7CE8"/>
    <w:rsid w:val="003A7D4B"/>
    <w:rsid w:val="003B0E71"/>
    <w:rsid w:val="003B77C9"/>
    <w:rsid w:val="003C41B4"/>
    <w:rsid w:val="003C6B34"/>
    <w:rsid w:val="003C77DC"/>
    <w:rsid w:val="003D2ED3"/>
    <w:rsid w:val="003D5FE9"/>
    <w:rsid w:val="003D6E77"/>
    <w:rsid w:val="003E116A"/>
    <w:rsid w:val="003E6CF5"/>
    <w:rsid w:val="003F211E"/>
    <w:rsid w:val="003F524E"/>
    <w:rsid w:val="00400E33"/>
    <w:rsid w:val="0040429E"/>
    <w:rsid w:val="00410025"/>
    <w:rsid w:val="00412765"/>
    <w:rsid w:val="00420E43"/>
    <w:rsid w:val="00422C50"/>
    <w:rsid w:val="00430A41"/>
    <w:rsid w:val="00430E90"/>
    <w:rsid w:val="00431C5F"/>
    <w:rsid w:val="004331E0"/>
    <w:rsid w:val="004331E5"/>
    <w:rsid w:val="00433C08"/>
    <w:rsid w:val="00440572"/>
    <w:rsid w:val="00441AF9"/>
    <w:rsid w:val="004460D9"/>
    <w:rsid w:val="00450D0B"/>
    <w:rsid w:val="00453E2A"/>
    <w:rsid w:val="00454E24"/>
    <w:rsid w:val="00457CDB"/>
    <w:rsid w:val="00461E19"/>
    <w:rsid w:val="004737BD"/>
    <w:rsid w:val="00480807"/>
    <w:rsid w:val="00486C5C"/>
    <w:rsid w:val="00494619"/>
    <w:rsid w:val="004A707C"/>
    <w:rsid w:val="004B1592"/>
    <w:rsid w:val="004B31FE"/>
    <w:rsid w:val="004C1F75"/>
    <w:rsid w:val="004C7635"/>
    <w:rsid w:val="004D2CBE"/>
    <w:rsid w:val="004D5190"/>
    <w:rsid w:val="004E4455"/>
    <w:rsid w:val="004E5FE4"/>
    <w:rsid w:val="004E779A"/>
    <w:rsid w:val="004F57A3"/>
    <w:rsid w:val="004F59C4"/>
    <w:rsid w:val="004F6225"/>
    <w:rsid w:val="004F6886"/>
    <w:rsid w:val="00506106"/>
    <w:rsid w:val="005162C8"/>
    <w:rsid w:val="005248F0"/>
    <w:rsid w:val="00540B33"/>
    <w:rsid w:val="00540C9C"/>
    <w:rsid w:val="005412F7"/>
    <w:rsid w:val="00547B3E"/>
    <w:rsid w:val="00551AF5"/>
    <w:rsid w:val="0055772C"/>
    <w:rsid w:val="005600AA"/>
    <w:rsid w:val="00560EAC"/>
    <w:rsid w:val="00563EE3"/>
    <w:rsid w:val="00570289"/>
    <w:rsid w:val="00571EFB"/>
    <w:rsid w:val="00577C28"/>
    <w:rsid w:val="005849CB"/>
    <w:rsid w:val="00586F7C"/>
    <w:rsid w:val="00590941"/>
    <w:rsid w:val="0059435C"/>
    <w:rsid w:val="005A0E5B"/>
    <w:rsid w:val="005A172A"/>
    <w:rsid w:val="005A1CE7"/>
    <w:rsid w:val="005A27A6"/>
    <w:rsid w:val="005A34E6"/>
    <w:rsid w:val="005A7C4C"/>
    <w:rsid w:val="005B417C"/>
    <w:rsid w:val="005B743E"/>
    <w:rsid w:val="005D1156"/>
    <w:rsid w:val="005D75E4"/>
    <w:rsid w:val="005F2945"/>
    <w:rsid w:val="005F3CAE"/>
    <w:rsid w:val="005F4630"/>
    <w:rsid w:val="005F55EB"/>
    <w:rsid w:val="005F5AEA"/>
    <w:rsid w:val="005F5F3E"/>
    <w:rsid w:val="005F697C"/>
    <w:rsid w:val="005F6F9D"/>
    <w:rsid w:val="006012FC"/>
    <w:rsid w:val="006037EA"/>
    <w:rsid w:val="00605244"/>
    <w:rsid w:val="00607C54"/>
    <w:rsid w:val="00612CA1"/>
    <w:rsid w:val="00621AC0"/>
    <w:rsid w:val="00623160"/>
    <w:rsid w:val="0062513B"/>
    <w:rsid w:val="00631CE1"/>
    <w:rsid w:val="006337BA"/>
    <w:rsid w:val="006348FF"/>
    <w:rsid w:val="006350EC"/>
    <w:rsid w:val="00642098"/>
    <w:rsid w:val="00642DE8"/>
    <w:rsid w:val="006430B8"/>
    <w:rsid w:val="006460B6"/>
    <w:rsid w:val="00646F85"/>
    <w:rsid w:val="00650D59"/>
    <w:rsid w:val="00671F06"/>
    <w:rsid w:val="00674467"/>
    <w:rsid w:val="00676767"/>
    <w:rsid w:val="00694714"/>
    <w:rsid w:val="006A07F1"/>
    <w:rsid w:val="006A0F0A"/>
    <w:rsid w:val="006A3AA8"/>
    <w:rsid w:val="006A42A3"/>
    <w:rsid w:val="006A53C7"/>
    <w:rsid w:val="006B04B5"/>
    <w:rsid w:val="006C38D6"/>
    <w:rsid w:val="006C6FE8"/>
    <w:rsid w:val="006D7858"/>
    <w:rsid w:val="006E0FEA"/>
    <w:rsid w:val="006E251F"/>
    <w:rsid w:val="006E4B74"/>
    <w:rsid w:val="006E7C91"/>
    <w:rsid w:val="006F1C5B"/>
    <w:rsid w:val="006F7213"/>
    <w:rsid w:val="00703AE1"/>
    <w:rsid w:val="00703EB0"/>
    <w:rsid w:val="0070704F"/>
    <w:rsid w:val="00713288"/>
    <w:rsid w:val="00714182"/>
    <w:rsid w:val="00714202"/>
    <w:rsid w:val="007143B1"/>
    <w:rsid w:val="00715205"/>
    <w:rsid w:val="00715CEE"/>
    <w:rsid w:val="00722441"/>
    <w:rsid w:val="00731109"/>
    <w:rsid w:val="007354E6"/>
    <w:rsid w:val="0073619D"/>
    <w:rsid w:val="007437A3"/>
    <w:rsid w:val="00752B20"/>
    <w:rsid w:val="00756A25"/>
    <w:rsid w:val="007622D1"/>
    <w:rsid w:val="007628BC"/>
    <w:rsid w:val="007652F5"/>
    <w:rsid w:val="0077504B"/>
    <w:rsid w:val="0077565F"/>
    <w:rsid w:val="00790136"/>
    <w:rsid w:val="00791696"/>
    <w:rsid w:val="00791D85"/>
    <w:rsid w:val="00792C2C"/>
    <w:rsid w:val="00792C8A"/>
    <w:rsid w:val="007A5A75"/>
    <w:rsid w:val="007A7664"/>
    <w:rsid w:val="007B0989"/>
    <w:rsid w:val="007D0592"/>
    <w:rsid w:val="007D79DD"/>
    <w:rsid w:val="007E20FE"/>
    <w:rsid w:val="007E6164"/>
    <w:rsid w:val="007E640E"/>
    <w:rsid w:val="007E7A20"/>
    <w:rsid w:val="007F2FC4"/>
    <w:rsid w:val="00800402"/>
    <w:rsid w:val="00801C50"/>
    <w:rsid w:val="00802A12"/>
    <w:rsid w:val="008049E0"/>
    <w:rsid w:val="008113BB"/>
    <w:rsid w:val="00812D5C"/>
    <w:rsid w:val="008145F8"/>
    <w:rsid w:val="00817F31"/>
    <w:rsid w:val="00820118"/>
    <w:rsid w:val="008214AC"/>
    <w:rsid w:val="00822877"/>
    <w:rsid w:val="008252C4"/>
    <w:rsid w:val="00833A7B"/>
    <w:rsid w:val="00841AD1"/>
    <w:rsid w:val="00843992"/>
    <w:rsid w:val="00855EE0"/>
    <w:rsid w:val="00856641"/>
    <w:rsid w:val="0086360D"/>
    <w:rsid w:val="00866B12"/>
    <w:rsid w:val="00870177"/>
    <w:rsid w:val="00871262"/>
    <w:rsid w:val="0087128F"/>
    <w:rsid w:val="008728E2"/>
    <w:rsid w:val="00875409"/>
    <w:rsid w:val="00875AD2"/>
    <w:rsid w:val="00891AB2"/>
    <w:rsid w:val="0089570A"/>
    <w:rsid w:val="008A629D"/>
    <w:rsid w:val="008A6D58"/>
    <w:rsid w:val="008A77D2"/>
    <w:rsid w:val="008A7FA6"/>
    <w:rsid w:val="008B49F0"/>
    <w:rsid w:val="008B5D87"/>
    <w:rsid w:val="008D026D"/>
    <w:rsid w:val="008D051E"/>
    <w:rsid w:val="008D10EA"/>
    <w:rsid w:val="008D11E7"/>
    <w:rsid w:val="008D62A7"/>
    <w:rsid w:val="008E123B"/>
    <w:rsid w:val="008E2365"/>
    <w:rsid w:val="008E73E4"/>
    <w:rsid w:val="008F3D70"/>
    <w:rsid w:val="008F4590"/>
    <w:rsid w:val="008F4BB7"/>
    <w:rsid w:val="0090018E"/>
    <w:rsid w:val="0090204D"/>
    <w:rsid w:val="0090411A"/>
    <w:rsid w:val="00915AA0"/>
    <w:rsid w:val="00922137"/>
    <w:rsid w:val="0092317E"/>
    <w:rsid w:val="0092568B"/>
    <w:rsid w:val="009303E9"/>
    <w:rsid w:val="0093431E"/>
    <w:rsid w:val="0094251F"/>
    <w:rsid w:val="00943D0E"/>
    <w:rsid w:val="00944834"/>
    <w:rsid w:val="009513D0"/>
    <w:rsid w:val="00951838"/>
    <w:rsid w:val="00956259"/>
    <w:rsid w:val="0096072F"/>
    <w:rsid w:val="009630AE"/>
    <w:rsid w:val="00966AB9"/>
    <w:rsid w:val="00975C14"/>
    <w:rsid w:val="00977FBB"/>
    <w:rsid w:val="00981977"/>
    <w:rsid w:val="00982E57"/>
    <w:rsid w:val="00985B44"/>
    <w:rsid w:val="00990032"/>
    <w:rsid w:val="009913BA"/>
    <w:rsid w:val="00997167"/>
    <w:rsid w:val="009A04F6"/>
    <w:rsid w:val="009A4252"/>
    <w:rsid w:val="009B4AFC"/>
    <w:rsid w:val="009C06AF"/>
    <w:rsid w:val="009C3001"/>
    <w:rsid w:val="009D4FB6"/>
    <w:rsid w:val="009E7CD7"/>
    <w:rsid w:val="009F5C60"/>
    <w:rsid w:val="00A006FC"/>
    <w:rsid w:val="00A05D89"/>
    <w:rsid w:val="00A139B5"/>
    <w:rsid w:val="00A17532"/>
    <w:rsid w:val="00A27063"/>
    <w:rsid w:val="00A32EF2"/>
    <w:rsid w:val="00A33CB0"/>
    <w:rsid w:val="00A42447"/>
    <w:rsid w:val="00A44C0A"/>
    <w:rsid w:val="00A44EDB"/>
    <w:rsid w:val="00A53F10"/>
    <w:rsid w:val="00A6073B"/>
    <w:rsid w:val="00A615BC"/>
    <w:rsid w:val="00A71219"/>
    <w:rsid w:val="00A73967"/>
    <w:rsid w:val="00A74F6B"/>
    <w:rsid w:val="00A81A4A"/>
    <w:rsid w:val="00A82A2A"/>
    <w:rsid w:val="00A870D2"/>
    <w:rsid w:val="00A90BE8"/>
    <w:rsid w:val="00A9464B"/>
    <w:rsid w:val="00A9531F"/>
    <w:rsid w:val="00AA2AD9"/>
    <w:rsid w:val="00AA39E7"/>
    <w:rsid w:val="00AA649C"/>
    <w:rsid w:val="00AA6BF3"/>
    <w:rsid w:val="00AB56CC"/>
    <w:rsid w:val="00AB6AD2"/>
    <w:rsid w:val="00AC42AA"/>
    <w:rsid w:val="00AD4823"/>
    <w:rsid w:val="00AD5CE2"/>
    <w:rsid w:val="00AE1252"/>
    <w:rsid w:val="00AE291E"/>
    <w:rsid w:val="00AE7DB6"/>
    <w:rsid w:val="00AF4CDC"/>
    <w:rsid w:val="00AF5778"/>
    <w:rsid w:val="00B035DC"/>
    <w:rsid w:val="00B0602C"/>
    <w:rsid w:val="00B07169"/>
    <w:rsid w:val="00B07E16"/>
    <w:rsid w:val="00B121E6"/>
    <w:rsid w:val="00B26DA7"/>
    <w:rsid w:val="00B32BC2"/>
    <w:rsid w:val="00B4298A"/>
    <w:rsid w:val="00B4411B"/>
    <w:rsid w:val="00B61698"/>
    <w:rsid w:val="00B61944"/>
    <w:rsid w:val="00B7039C"/>
    <w:rsid w:val="00B73A08"/>
    <w:rsid w:val="00B748AE"/>
    <w:rsid w:val="00B74C8A"/>
    <w:rsid w:val="00BA076B"/>
    <w:rsid w:val="00BA1D8B"/>
    <w:rsid w:val="00BA3149"/>
    <w:rsid w:val="00BB3CA5"/>
    <w:rsid w:val="00BC1243"/>
    <w:rsid w:val="00BC7A15"/>
    <w:rsid w:val="00BD0E91"/>
    <w:rsid w:val="00BD63C9"/>
    <w:rsid w:val="00BE1DAF"/>
    <w:rsid w:val="00BE22E1"/>
    <w:rsid w:val="00BE330D"/>
    <w:rsid w:val="00BE5D71"/>
    <w:rsid w:val="00BE6255"/>
    <w:rsid w:val="00BE6E0B"/>
    <w:rsid w:val="00BF18A5"/>
    <w:rsid w:val="00BF1BEA"/>
    <w:rsid w:val="00BF3BC6"/>
    <w:rsid w:val="00BF4DE5"/>
    <w:rsid w:val="00BF7121"/>
    <w:rsid w:val="00BF7826"/>
    <w:rsid w:val="00C03703"/>
    <w:rsid w:val="00C03BF3"/>
    <w:rsid w:val="00C040AC"/>
    <w:rsid w:val="00C100D7"/>
    <w:rsid w:val="00C13608"/>
    <w:rsid w:val="00C13B81"/>
    <w:rsid w:val="00C37B7E"/>
    <w:rsid w:val="00C427F8"/>
    <w:rsid w:val="00C436A2"/>
    <w:rsid w:val="00C460AA"/>
    <w:rsid w:val="00C473D5"/>
    <w:rsid w:val="00C527A7"/>
    <w:rsid w:val="00C562ED"/>
    <w:rsid w:val="00C57369"/>
    <w:rsid w:val="00C60693"/>
    <w:rsid w:val="00C61B53"/>
    <w:rsid w:val="00C65F53"/>
    <w:rsid w:val="00C83CDD"/>
    <w:rsid w:val="00C85881"/>
    <w:rsid w:val="00C85D83"/>
    <w:rsid w:val="00CA02AC"/>
    <w:rsid w:val="00CA64BE"/>
    <w:rsid w:val="00CC2856"/>
    <w:rsid w:val="00CC5DCD"/>
    <w:rsid w:val="00CC6CAA"/>
    <w:rsid w:val="00CD090E"/>
    <w:rsid w:val="00CD627C"/>
    <w:rsid w:val="00CE7DDF"/>
    <w:rsid w:val="00D048D9"/>
    <w:rsid w:val="00D04F8F"/>
    <w:rsid w:val="00D07994"/>
    <w:rsid w:val="00D117C2"/>
    <w:rsid w:val="00D13674"/>
    <w:rsid w:val="00D162C0"/>
    <w:rsid w:val="00D22880"/>
    <w:rsid w:val="00D3344C"/>
    <w:rsid w:val="00D33D5F"/>
    <w:rsid w:val="00D35144"/>
    <w:rsid w:val="00D40AEC"/>
    <w:rsid w:val="00D51F8A"/>
    <w:rsid w:val="00D5791B"/>
    <w:rsid w:val="00D60C1B"/>
    <w:rsid w:val="00D61053"/>
    <w:rsid w:val="00D610F8"/>
    <w:rsid w:val="00D62B4F"/>
    <w:rsid w:val="00D63426"/>
    <w:rsid w:val="00D637A8"/>
    <w:rsid w:val="00D768F1"/>
    <w:rsid w:val="00D83123"/>
    <w:rsid w:val="00D84AEB"/>
    <w:rsid w:val="00D84FD7"/>
    <w:rsid w:val="00D85715"/>
    <w:rsid w:val="00D92184"/>
    <w:rsid w:val="00D95529"/>
    <w:rsid w:val="00DA2DC8"/>
    <w:rsid w:val="00DA7912"/>
    <w:rsid w:val="00DB6A8D"/>
    <w:rsid w:val="00DC12AF"/>
    <w:rsid w:val="00DC45A8"/>
    <w:rsid w:val="00DC5D93"/>
    <w:rsid w:val="00DC6049"/>
    <w:rsid w:val="00DD13BF"/>
    <w:rsid w:val="00DD76BE"/>
    <w:rsid w:val="00DE3F91"/>
    <w:rsid w:val="00DF7CF9"/>
    <w:rsid w:val="00E04949"/>
    <w:rsid w:val="00E06C3F"/>
    <w:rsid w:val="00E16DE8"/>
    <w:rsid w:val="00E204F9"/>
    <w:rsid w:val="00E22DDE"/>
    <w:rsid w:val="00E26064"/>
    <w:rsid w:val="00E43982"/>
    <w:rsid w:val="00E468A8"/>
    <w:rsid w:val="00E50F42"/>
    <w:rsid w:val="00E53EE7"/>
    <w:rsid w:val="00E633C6"/>
    <w:rsid w:val="00E6459D"/>
    <w:rsid w:val="00E7558E"/>
    <w:rsid w:val="00E75EB4"/>
    <w:rsid w:val="00E84773"/>
    <w:rsid w:val="00E9053B"/>
    <w:rsid w:val="00E95A6E"/>
    <w:rsid w:val="00E96A05"/>
    <w:rsid w:val="00E96C72"/>
    <w:rsid w:val="00E97C8E"/>
    <w:rsid w:val="00EA2797"/>
    <w:rsid w:val="00EA4F66"/>
    <w:rsid w:val="00EA6742"/>
    <w:rsid w:val="00EA7BD7"/>
    <w:rsid w:val="00EB10DE"/>
    <w:rsid w:val="00EC4C63"/>
    <w:rsid w:val="00EC5CEA"/>
    <w:rsid w:val="00EC608F"/>
    <w:rsid w:val="00ED315E"/>
    <w:rsid w:val="00ED42D0"/>
    <w:rsid w:val="00ED5892"/>
    <w:rsid w:val="00EE0731"/>
    <w:rsid w:val="00EE12A1"/>
    <w:rsid w:val="00EE40C7"/>
    <w:rsid w:val="00EE56EA"/>
    <w:rsid w:val="00EF3DBE"/>
    <w:rsid w:val="00EF4AA7"/>
    <w:rsid w:val="00F01CAF"/>
    <w:rsid w:val="00F0307A"/>
    <w:rsid w:val="00F031B6"/>
    <w:rsid w:val="00F06110"/>
    <w:rsid w:val="00F119F0"/>
    <w:rsid w:val="00F13DA0"/>
    <w:rsid w:val="00F21EB4"/>
    <w:rsid w:val="00F2643D"/>
    <w:rsid w:val="00F3051B"/>
    <w:rsid w:val="00F31579"/>
    <w:rsid w:val="00F318EF"/>
    <w:rsid w:val="00F359C9"/>
    <w:rsid w:val="00F56A3B"/>
    <w:rsid w:val="00F67B29"/>
    <w:rsid w:val="00F81E39"/>
    <w:rsid w:val="00F82432"/>
    <w:rsid w:val="00F8496E"/>
    <w:rsid w:val="00F91839"/>
    <w:rsid w:val="00F93583"/>
    <w:rsid w:val="00FA44EA"/>
    <w:rsid w:val="00FA6CDE"/>
    <w:rsid w:val="00FA7900"/>
    <w:rsid w:val="00FA7A44"/>
    <w:rsid w:val="00FA7B9C"/>
    <w:rsid w:val="00FB58FF"/>
    <w:rsid w:val="00FB671F"/>
    <w:rsid w:val="00FC3838"/>
    <w:rsid w:val="00FC4256"/>
    <w:rsid w:val="00FC709C"/>
    <w:rsid w:val="00FD092C"/>
    <w:rsid w:val="00FD141E"/>
    <w:rsid w:val="00FD1F7D"/>
    <w:rsid w:val="00FD2DE3"/>
    <w:rsid w:val="00FD7F98"/>
    <w:rsid w:val="00FE382A"/>
    <w:rsid w:val="00FE5C91"/>
    <w:rsid w:val="00FE6F04"/>
    <w:rsid w:val="00FF2267"/>
    <w:rsid w:val="00FF5478"/>
    <w:rsid w:val="119F29E4"/>
    <w:rsid w:val="233B633B"/>
    <w:rsid w:val="36DA36C1"/>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qFormat="1" w:unhideWhenUsed="0" w:uiPriority="0" w:semiHidden="0"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iPriority="99"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34" w:semiHidden="0" w:name="List Paragraph"/>
  </w:latentStyles>
  <w:style w:type="paragraph" w:default="1" w:styleId="1">
    <w:name w:val="Normal"/>
    <w:qFormat/>
    <w:uiPriority w:val="0"/>
    <w:pPr>
      <w:spacing w:line="360" w:lineRule="auto"/>
    </w:pPr>
    <w:rPr>
      <w:rFonts w:ascii="Times New Roman" w:hAnsi="Times New Roman" w:eastAsiaTheme="minorHAnsi" w:cstheme="minorBidi"/>
      <w:sz w:val="28"/>
      <w:szCs w:val="28"/>
      <w:lang w:val="ru-RU" w:eastAsia="en-US" w:bidi="ar-SA"/>
    </w:rPr>
  </w:style>
  <w:style w:type="character" w:default="1" w:styleId="2">
    <w:name w:val="Default Paragraph Font"/>
    <w:semiHidden/>
    <w:unhideWhenUsed/>
    <w:uiPriority w:val="1"/>
  </w:style>
  <w:style w:type="table" w:default="1" w:styleId="3">
    <w:name w:val="Normal Table"/>
    <w:semiHidden/>
    <w:unhideWhenUsed/>
    <w:qFormat/>
    <w:uiPriority w:val="99"/>
    <w:tblPr>
      <w:tblCellMar>
        <w:top w:w="0" w:type="dxa"/>
        <w:left w:w="108" w:type="dxa"/>
        <w:bottom w:w="0" w:type="dxa"/>
        <w:right w:w="108" w:type="dxa"/>
      </w:tblCellMar>
    </w:tblPr>
  </w:style>
  <w:style w:type="character" w:styleId="4">
    <w:name w:val="annotation reference"/>
    <w:basedOn w:val="2"/>
    <w:semiHidden/>
    <w:unhideWhenUsed/>
    <w:qFormat/>
    <w:uiPriority w:val="99"/>
    <w:rPr>
      <w:sz w:val="16"/>
      <w:szCs w:val="16"/>
    </w:rPr>
  </w:style>
  <w:style w:type="character" w:styleId="5">
    <w:name w:val="Hyperlink"/>
    <w:basedOn w:val="2"/>
    <w:unhideWhenUsed/>
    <w:qFormat/>
    <w:uiPriority w:val="99"/>
    <w:rPr>
      <w:color w:val="0000FF" w:themeColor="hyperlink"/>
      <w:u w:val="single"/>
      <w14:textFill>
        <w14:solidFill>
          <w14:schemeClr w14:val="hlink"/>
        </w14:solidFill>
      </w14:textFill>
    </w:rPr>
  </w:style>
  <w:style w:type="paragraph" w:styleId="6">
    <w:name w:val="Balloon Text"/>
    <w:basedOn w:val="1"/>
    <w:link w:val="19"/>
    <w:semiHidden/>
    <w:unhideWhenUsed/>
    <w:qFormat/>
    <w:uiPriority w:val="99"/>
    <w:pPr>
      <w:spacing w:line="240" w:lineRule="auto"/>
    </w:pPr>
    <w:rPr>
      <w:rFonts w:ascii="Tahoma" w:hAnsi="Tahoma" w:cs="Tahoma"/>
      <w:sz w:val="16"/>
      <w:szCs w:val="16"/>
    </w:rPr>
  </w:style>
  <w:style w:type="paragraph" w:styleId="7">
    <w:name w:val="annotation text"/>
    <w:basedOn w:val="1"/>
    <w:link w:val="20"/>
    <w:semiHidden/>
    <w:unhideWhenUsed/>
    <w:qFormat/>
    <w:uiPriority w:val="99"/>
    <w:pPr>
      <w:spacing w:line="240" w:lineRule="auto"/>
    </w:pPr>
    <w:rPr>
      <w:sz w:val="20"/>
      <w:szCs w:val="20"/>
    </w:rPr>
  </w:style>
  <w:style w:type="paragraph" w:styleId="8">
    <w:name w:val="annotation subject"/>
    <w:basedOn w:val="7"/>
    <w:next w:val="7"/>
    <w:link w:val="21"/>
    <w:semiHidden/>
    <w:unhideWhenUsed/>
    <w:qFormat/>
    <w:uiPriority w:val="99"/>
    <w:rPr>
      <w:b/>
      <w:bCs/>
    </w:rPr>
  </w:style>
  <w:style w:type="paragraph" w:styleId="9">
    <w:name w:val="header"/>
    <w:basedOn w:val="1"/>
    <w:link w:val="23"/>
    <w:unhideWhenUsed/>
    <w:qFormat/>
    <w:uiPriority w:val="99"/>
    <w:pPr>
      <w:tabs>
        <w:tab w:val="center" w:pos="4677"/>
        <w:tab w:val="right" w:pos="9355"/>
      </w:tabs>
      <w:spacing w:line="240" w:lineRule="auto"/>
    </w:pPr>
  </w:style>
  <w:style w:type="paragraph" w:styleId="10">
    <w:name w:val="Body Text"/>
    <w:basedOn w:val="1"/>
    <w:link w:val="22"/>
    <w:qFormat/>
    <w:uiPriority w:val="0"/>
    <w:pPr>
      <w:spacing w:line="240" w:lineRule="auto"/>
      <w:jc w:val="both"/>
    </w:pPr>
    <w:rPr>
      <w:rFonts w:eastAsia="Times New Roman" w:cs="Times New Roman"/>
      <w:szCs w:val="24"/>
      <w:lang w:eastAsia="ru-RU"/>
    </w:rPr>
  </w:style>
  <w:style w:type="paragraph" w:styleId="11">
    <w:name w:val="Body Text Indent"/>
    <w:basedOn w:val="1"/>
    <w:link w:val="25"/>
    <w:semiHidden/>
    <w:unhideWhenUsed/>
    <w:qFormat/>
    <w:uiPriority w:val="99"/>
    <w:pPr>
      <w:spacing w:after="120"/>
      <w:ind w:left="283"/>
    </w:pPr>
  </w:style>
  <w:style w:type="paragraph" w:styleId="12">
    <w:name w:val="Title"/>
    <w:basedOn w:val="1"/>
    <w:link w:val="27"/>
    <w:qFormat/>
    <w:uiPriority w:val="0"/>
    <w:pPr>
      <w:spacing w:line="480" w:lineRule="exact"/>
      <w:jc w:val="center"/>
    </w:pPr>
    <w:rPr>
      <w:rFonts w:eastAsia="Times New Roman" w:cs="Times New Roman"/>
      <w:b/>
      <w:szCs w:val="20"/>
      <w:lang w:eastAsia="ru-RU"/>
    </w:rPr>
  </w:style>
  <w:style w:type="paragraph" w:styleId="13">
    <w:name w:val="footer"/>
    <w:basedOn w:val="1"/>
    <w:link w:val="24"/>
    <w:unhideWhenUsed/>
    <w:qFormat/>
    <w:uiPriority w:val="99"/>
    <w:pPr>
      <w:tabs>
        <w:tab w:val="center" w:pos="4677"/>
        <w:tab w:val="right" w:pos="9355"/>
      </w:tabs>
      <w:spacing w:line="240" w:lineRule="auto"/>
    </w:pPr>
  </w:style>
  <w:style w:type="paragraph" w:styleId="14">
    <w:name w:val="Normal (Web)"/>
    <w:basedOn w:val="1"/>
    <w:unhideWhenUsed/>
    <w:qFormat/>
    <w:uiPriority w:val="99"/>
    <w:pPr>
      <w:spacing w:before="100" w:beforeAutospacing="1" w:after="100" w:afterAutospacing="1" w:line="240" w:lineRule="auto"/>
    </w:pPr>
    <w:rPr>
      <w:rFonts w:eastAsia="Times New Roman" w:cs="Times New Roman"/>
      <w:sz w:val="24"/>
      <w:szCs w:val="24"/>
      <w:lang w:eastAsia="ru-RU"/>
    </w:rPr>
  </w:style>
  <w:style w:type="paragraph" w:styleId="15">
    <w:name w:val="Body Text Indent 2"/>
    <w:basedOn w:val="1"/>
    <w:link w:val="26"/>
    <w:unhideWhenUsed/>
    <w:qFormat/>
    <w:uiPriority w:val="99"/>
    <w:pPr>
      <w:spacing w:after="120" w:line="480" w:lineRule="auto"/>
      <w:ind w:left="283"/>
    </w:pPr>
  </w:style>
  <w:style w:type="table" w:styleId="16">
    <w:name w:val="Table Grid"/>
    <w:basedOn w:val="3"/>
    <w:qFormat/>
    <w:uiPriority w:val="39"/>
    <w:pPr>
      <w:spacing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7">
    <w:name w:val="228bf8a64b8551e1msonormal"/>
    <w:basedOn w:val="1"/>
    <w:qFormat/>
    <w:uiPriority w:val="0"/>
    <w:pPr>
      <w:spacing w:before="100" w:beforeAutospacing="1" w:after="100" w:afterAutospacing="1" w:line="240" w:lineRule="auto"/>
    </w:pPr>
    <w:rPr>
      <w:rFonts w:eastAsia="Times New Roman" w:cs="Times New Roman"/>
      <w:sz w:val="24"/>
      <w:szCs w:val="24"/>
      <w:lang w:eastAsia="ru-RU"/>
    </w:rPr>
  </w:style>
  <w:style w:type="paragraph" w:styleId="18">
    <w:name w:val="List Paragraph"/>
    <w:basedOn w:val="1"/>
    <w:qFormat/>
    <w:uiPriority w:val="34"/>
    <w:pPr>
      <w:ind w:left="720"/>
      <w:contextualSpacing/>
    </w:pPr>
  </w:style>
  <w:style w:type="character" w:customStyle="1" w:styleId="19">
    <w:name w:val="Текст выноски Знак"/>
    <w:basedOn w:val="2"/>
    <w:link w:val="6"/>
    <w:semiHidden/>
    <w:qFormat/>
    <w:uiPriority w:val="99"/>
    <w:rPr>
      <w:rFonts w:ascii="Tahoma" w:hAnsi="Tahoma" w:cs="Tahoma"/>
      <w:sz w:val="16"/>
      <w:szCs w:val="16"/>
    </w:rPr>
  </w:style>
  <w:style w:type="character" w:customStyle="1" w:styleId="20">
    <w:name w:val="Текст примечания Знак"/>
    <w:basedOn w:val="2"/>
    <w:link w:val="7"/>
    <w:semiHidden/>
    <w:qFormat/>
    <w:uiPriority w:val="99"/>
    <w:rPr>
      <w:sz w:val="20"/>
      <w:szCs w:val="20"/>
    </w:rPr>
  </w:style>
  <w:style w:type="character" w:customStyle="1" w:styleId="21">
    <w:name w:val="Тема примечания Знак"/>
    <w:basedOn w:val="20"/>
    <w:link w:val="8"/>
    <w:semiHidden/>
    <w:qFormat/>
    <w:uiPriority w:val="99"/>
    <w:rPr>
      <w:b/>
      <w:bCs/>
      <w:sz w:val="20"/>
      <w:szCs w:val="20"/>
    </w:rPr>
  </w:style>
  <w:style w:type="character" w:customStyle="1" w:styleId="22">
    <w:name w:val="Основной текст Знак"/>
    <w:basedOn w:val="2"/>
    <w:link w:val="10"/>
    <w:qFormat/>
    <w:uiPriority w:val="0"/>
    <w:rPr>
      <w:rFonts w:ascii="Times New Roman" w:hAnsi="Times New Roman" w:eastAsia="Times New Roman" w:cs="Times New Roman"/>
      <w:sz w:val="28"/>
      <w:szCs w:val="24"/>
      <w:lang w:eastAsia="ru-RU"/>
    </w:rPr>
  </w:style>
  <w:style w:type="character" w:customStyle="1" w:styleId="23">
    <w:name w:val="Верхний колонтитул Знак"/>
    <w:basedOn w:val="2"/>
    <w:link w:val="9"/>
    <w:qFormat/>
    <w:uiPriority w:val="99"/>
  </w:style>
  <w:style w:type="character" w:customStyle="1" w:styleId="24">
    <w:name w:val="Нижний колонтитул Знак"/>
    <w:basedOn w:val="2"/>
    <w:link w:val="13"/>
    <w:qFormat/>
    <w:uiPriority w:val="99"/>
  </w:style>
  <w:style w:type="character" w:customStyle="1" w:styleId="25">
    <w:name w:val="Основной текст с отступом Знак"/>
    <w:basedOn w:val="2"/>
    <w:link w:val="11"/>
    <w:semiHidden/>
    <w:qFormat/>
    <w:uiPriority w:val="99"/>
  </w:style>
  <w:style w:type="character" w:customStyle="1" w:styleId="26">
    <w:name w:val="Основной текст с отступом 2 Знак"/>
    <w:basedOn w:val="2"/>
    <w:link w:val="15"/>
    <w:qFormat/>
    <w:uiPriority w:val="99"/>
  </w:style>
  <w:style w:type="character" w:customStyle="1" w:styleId="27">
    <w:name w:val="Заголовок Знак"/>
    <w:basedOn w:val="2"/>
    <w:link w:val="12"/>
    <w:uiPriority w:val="0"/>
    <w:rPr>
      <w:rFonts w:eastAsia="Times New Roman" w:cs="Times New Roman"/>
      <w:b/>
      <w:szCs w:val="20"/>
      <w:lang w:eastAsia="ru-RU"/>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jpe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5" Type="http://schemas.openxmlformats.org/officeDocument/2006/relationships/fontTable" Target="fontTable.xml"/><Relationship Id="rId24" Type="http://schemas.openxmlformats.org/officeDocument/2006/relationships/customXml" Target="../customXml/item2.xml"/><Relationship Id="rId23" Type="http://schemas.openxmlformats.org/officeDocument/2006/relationships/numbering" Target="numbering.xml"/><Relationship Id="rId22" Type="http://schemas.openxmlformats.org/officeDocument/2006/relationships/customXml" Target="../customXml/item1.xml"/><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jpe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chart" Target="charts/chart1.xml"/><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973242968584359"/>
          <c:y val="0.0891204008967427"/>
          <c:w val="0.787552357679428"/>
          <c:h val="0.802151933302944"/>
        </c:manualLayout>
      </c:layout>
      <c:barChart>
        <c:barDir val="col"/>
        <c:grouping val="standard"/>
        <c:varyColors val="0"/>
        <c:ser>
          <c:idx val="0"/>
          <c:order val="0"/>
          <c:tx>
            <c:strRef>
              <c:f>Лист1!$B$1</c:f>
              <c:strCache>
                <c:ptCount val="1"/>
                <c:pt idx="0">
                  <c:v>виды естественные</c:v>
                </c:pt>
              </c:strCache>
            </c:strRef>
          </c:tx>
          <c:spPr>
            <a:solidFill>
              <a:schemeClr val="accent1"/>
            </a:solidFill>
            <a:ln>
              <a:noFill/>
            </a:ln>
            <a:effectLst/>
            <a:sp3d/>
          </c:spPr>
          <c:invertIfNegative val="0"/>
          <c:dLbls>
            <c:delete val="1"/>
          </c:dLbls>
          <c:cat>
            <c:strRef>
              <c:f>Лист1!$A$2:$A$4</c:f>
              <c:strCache>
                <c:ptCount val="3"/>
                <c:pt idx="0">
                  <c:v>2023 г.</c:v>
                </c:pt>
                <c:pt idx="1">
                  <c:v>2024 г.</c:v>
                </c:pt>
                <c:pt idx="2">
                  <c:v>2025 г.</c:v>
                </c:pt>
              </c:strCache>
            </c:strRef>
          </c:cat>
          <c:val>
            <c:numRef>
              <c:f>Лист1!$B$2:$B$4</c:f>
              <c:numCache>
                <c:formatCode>General</c:formatCode>
                <c:ptCount val="3"/>
                <c:pt idx="0">
                  <c:v>4</c:v>
                </c:pt>
                <c:pt idx="1">
                  <c:v>5</c:v>
                </c:pt>
                <c:pt idx="2">
                  <c:v>7</c:v>
                </c:pt>
              </c:numCache>
            </c:numRef>
          </c:val>
        </c:ser>
        <c:ser>
          <c:idx val="1"/>
          <c:order val="1"/>
          <c:tx>
            <c:strRef>
              <c:f>Лист1!$C$1</c:f>
              <c:strCache>
                <c:ptCount val="1"/>
                <c:pt idx="0">
                  <c:v>виды синантропные</c:v>
                </c:pt>
              </c:strCache>
            </c:strRef>
          </c:tx>
          <c:spPr>
            <a:solidFill>
              <a:schemeClr val="accent2"/>
            </a:solidFill>
            <a:ln>
              <a:noFill/>
            </a:ln>
            <a:effectLst/>
            <a:sp3d/>
          </c:spPr>
          <c:invertIfNegative val="0"/>
          <c:dLbls>
            <c:delete val="1"/>
          </c:dLbls>
          <c:cat>
            <c:strRef>
              <c:f>Лист1!$A$2:$A$4</c:f>
              <c:strCache>
                <c:ptCount val="3"/>
                <c:pt idx="0">
                  <c:v>2023 г.</c:v>
                </c:pt>
                <c:pt idx="1">
                  <c:v>2024 г.</c:v>
                </c:pt>
                <c:pt idx="2">
                  <c:v>2025 г.</c:v>
                </c:pt>
              </c:strCache>
            </c:strRef>
          </c:cat>
          <c:val>
            <c:numRef>
              <c:f>Лист1!$C$2:$C$4</c:f>
              <c:numCache>
                <c:formatCode>General</c:formatCode>
                <c:ptCount val="3"/>
                <c:pt idx="0">
                  <c:v>7</c:v>
                </c:pt>
                <c:pt idx="1">
                  <c:v>5</c:v>
                </c:pt>
                <c:pt idx="2">
                  <c:v>3</c:v>
                </c:pt>
              </c:numCache>
            </c:numRef>
          </c:val>
        </c:ser>
        <c:dLbls>
          <c:showLegendKey val="0"/>
          <c:showVal val="0"/>
          <c:showCatName val="0"/>
          <c:showSerName val="0"/>
          <c:showPercent val="0"/>
          <c:showBubbleSize val="0"/>
        </c:dLbls>
        <c:gapWidth val="150"/>
        <c:axId val="157118976"/>
        <c:axId val="172247296"/>
      </c:barChart>
      <c:catAx>
        <c:axId val="157118976"/>
        <c:scaling>
          <c:orientation val="minMax"/>
        </c:scaling>
        <c:delete val="0"/>
        <c:axPos val="b"/>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p>
        </c:txPr>
        <c:crossAx val="172247296"/>
        <c:crosses val="autoZero"/>
        <c:auto val="1"/>
        <c:lblAlgn val="ctr"/>
        <c:lblOffset val="100"/>
        <c:noMultiLvlLbl val="0"/>
      </c:catAx>
      <c:valAx>
        <c:axId val="172247296"/>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lang="ru-RU" sz="1000" b="0" i="0" u="none" strike="noStrike" kern="1200" baseline="0">
                    <a:solidFill>
                      <a:schemeClr val="tx1">
                        <a:lumMod val="65000"/>
                        <a:lumOff val="35000"/>
                      </a:schemeClr>
                    </a:solidFill>
                    <a:latin typeface="+mn-lt"/>
                    <a:ea typeface="+mn-ea"/>
                    <a:cs typeface="+mn-cs"/>
                  </a:defRPr>
                </a:pPr>
                <a:r>
                  <a:rPr lang="ru-RU"/>
                  <a:t>число видов на</a:t>
                </a:r>
                <a:r>
                  <a:rPr lang="ru-RU" baseline="0"/>
                  <a:t> площадке</a:t>
                </a:r>
                <a:r>
                  <a:rPr lang="ru-RU"/>
                  <a:t> </a:t>
                </a:r>
                <a:endParaRPr lang="ru-RU"/>
              </a:p>
            </c:rich>
          </c:tx>
          <c:layout/>
          <c:overlay val="0"/>
          <c:spPr>
            <a:noFill/>
            <a:ln>
              <a:noFill/>
            </a:ln>
            <a:effectLst/>
          </c:spPr>
        </c:title>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p>
        </c:txPr>
        <c:crossAx val="15711897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40372611-2a82-4288-9676-4cc01abb5f48}"/>
      </c:ext>
    </c:extLst>
  </c:chart>
  <c:spPr>
    <a:solidFill>
      <a:schemeClr val="bg1"/>
    </a:solidFill>
    <a:ln w="9525" cap="flat" cmpd="sng" algn="ctr">
      <a:solidFill>
        <a:schemeClr val="tx1">
          <a:lumMod val="15000"/>
          <a:lumOff val="85000"/>
        </a:schemeClr>
      </a:solidFill>
      <a:prstDash val="solid"/>
      <a:round/>
    </a:ln>
    <a:effectLst/>
  </c:spPr>
  <c:txPr>
    <a:bodyPr/>
    <a:lstStyle/>
    <a:p>
      <a:pPr>
        <a:defRPr lang="ru-RU"/>
      </a:pPr>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5DF7302-6FE1-4CFD-BC58-BED96B17A791}">
  <ds:schemaRefs/>
</ds:datastoreItem>
</file>

<file path=docProps/app.xml><?xml version="1.0" encoding="utf-8"?>
<Properties xmlns="http://schemas.openxmlformats.org/officeDocument/2006/extended-properties" xmlns:vt="http://schemas.openxmlformats.org/officeDocument/2006/docPropsVTypes">
  <Template>Normal.dotm</Template>
  <Company>SPecialiST RePack</Company>
  <Pages>22</Pages>
  <Words>4226</Words>
  <Characters>24093</Characters>
  <Lines>200</Lines>
  <Paragraphs>56</Paragraphs>
  <TotalTime>8</TotalTime>
  <ScaleCrop>false</ScaleCrop>
  <LinksUpToDate>false</LinksUpToDate>
  <CharactersWithSpaces>28263</CharactersWithSpaces>
  <Application>WPS Office_12.2.0.23196_F1E327BC-269C-435d-A152-05C5408002CA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2025-12-01T09:24:00Z</dcterms:created>
  <dc:creator>Анатолий Вассерман</dc:creator>
  <cp:lastModifiedBy>User1</cp:lastModifiedBy>
  <cp:lastPrinted>2023-11-16T19:06:00Z</cp:lastPrinted>
  <dcterms:modified xsi:type="dcterms:W3CDTF">2026-01-14T08:45:56Z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1049-12.2.0.23196</vt:lpwstr>
  </property>
  <property fmtid="{D5CDD505-2E9C-101B-9397-08002B2CF9AE}" pid="3" name="ICV">
    <vt:lpwstr>F1AD9337206D43D2B06FDAB9785B38C4_13</vt:lpwstr>
  </property>
</Properties>
</file>