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97A520">
      <w:pPr>
        <w:spacing w:after="0" w:line="240" w:lineRule="auto"/>
        <w:jc w:val="center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hint="default" w:ascii="Times New Roman" w:hAnsi="Times New Roman" w:eastAsia="Calibri" w:cs="Times New Roman"/>
          <w:sz w:val="28"/>
          <w:szCs w:val="28"/>
          <w:lang w:eastAsia="en-US"/>
        </w:rPr>
        <w:t>Министерство образования и науки Республики Бурятия</w:t>
      </w:r>
    </w:p>
    <w:p w14:paraId="3DDD8670">
      <w:pPr>
        <w:spacing w:after="0" w:line="240" w:lineRule="auto"/>
        <w:jc w:val="center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hint="default" w:ascii="Times New Roman" w:hAnsi="Times New Roman" w:eastAsia="Calibri" w:cs="Times New Roman"/>
          <w:sz w:val="28"/>
          <w:szCs w:val="28"/>
          <w:lang w:eastAsia="en-US"/>
        </w:rPr>
        <w:t>Государственное бюджетное учреждение дополнительного образования</w:t>
      </w:r>
    </w:p>
    <w:p w14:paraId="69F41C52">
      <w:pPr>
        <w:spacing w:after="0" w:line="240" w:lineRule="auto"/>
        <w:jc w:val="center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hint="default" w:ascii="Times New Roman" w:hAnsi="Times New Roman" w:eastAsia="Calibri" w:cs="Times New Roman"/>
          <w:sz w:val="28"/>
          <w:szCs w:val="28"/>
          <w:lang w:eastAsia="en-US"/>
        </w:rPr>
        <w:t>«Ресурсный эколого-биологический центр Республики Бурятия»</w:t>
      </w:r>
    </w:p>
    <w:p w14:paraId="6E4F5FF7">
      <w:pPr>
        <w:spacing w:after="0" w:line="240" w:lineRule="auto"/>
        <w:jc w:val="center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178B5416">
      <w:pPr>
        <w:spacing w:after="0" w:line="240" w:lineRule="auto"/>
        <w:jc w:val="center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50BAA673">
      <w:pPr>
        <w:spacing w:after="0" w:line="240" w:lineRule="auto"/>
        <w:jc w:val="center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0DA08C0B">
      <w:pPr>
        <w:spacing w:after="0" w:line="240" w:lineRule="auto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4C1D3CAF">
      <w:pPr>
        <w:spacing w:after="0" w:line="240" w:lineRule="auto"/>
        <w:jc w:val="center"/>
        <w:rPr>
          <w:rFonts w:hint="default" w:ascii="Times New Roman" w:hAnsi="Times New Roman" w:eastAsia="Calibri" w:cs="Times New Roman"/>
          <w:sz w:val="28"/>
          <w:szCs w:val="28"/>
          <w:lang w:val="ru-RU" w:eastAsia="en-US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 w:eastAsia="en-US"/>
        </w:rPr>
        <w:t>Всероссийский</w:t>
      </w:r>
      <w:r>
        <w:rPr>
          <w:rFonts w:hint="default" w:ascii="Times New Roman" w:hAnsi="Times New Roman" w:eastAsia="Calibri" w:cs="Times New Roman"/>
          <w:sz w:val="28"/>
          <w:szCs w:val="28"/>
          <w:lang w:val="ru-RU" w:eastAsia="en-US"/>
        </w:rPr>
        <w:t xml:space="preserve"> конкурс юных исследователей окружающей среды</w:t>
      </w:r>
    </w:p>
    <w:p w14:paraId="07B4179D">
      <w:pPr>
        <w:spacing w:after="0" w:line="240" w:lineRule="auto"/>
        <w:jc w:val="center"/>
        <w:rPr>
          <w:rFonts w:hint="default" w:ascii="Times New Roman" w:hAnsi="Times New Roman" w:eastAsia="Calibri" w:cs="Times New Roman"/>
          <w:sz w:val="28"/>
          <w:szCs w:val="28"/>
          <w:lang w:val="ru-RU" w:eastAsia="en-US"/>
        </w:rPr>
      </w:pPr>
      <w:r>
        <w:rPr>
          <w:rFonts w:hint="default" w:ascii="Times New Roman" w:hAnsi="Times New Roman" w:eastAsia="Calibri" w:cs="Times New Roman"/>
          <w:sz w:val="28"/>
          <w:szCs w:val="28"/>
          <w:lang w:val="ru-RU" w:eastAsia="en-US"/>
        </w:rPr>
        <w:t xml:space="preserve"> им. Б.В. Всесвятского</w:t>
      </w:r>
    </w:p>
    <w:p w14:paraId="596DAD69">
      <w:pPr>
        <w:spacing w:after="0" w:line="240" w:lineRule="auto"/>
        <w:jc w:val="center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1333761F">
      <w:pPr>
        <w:spacing w:after="0" w:line="240" w:lineRule="auto"/>
        <w:jc w:val="center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5A53EEE7">
      <w:pPr>
        <w:spacing w:after="0" w:line="240" w:lineRule="auto"/>
        <w:jc w:val="center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58014F53">
      <w:pPr>
        <w:spacing w:after="0" w:line="240" w:lineRule="auto"/>
        <w:jc w:val="center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2D4716E2">
      <w:pPr>
        <w:spacing w:after="0" w:line="240" w:lineRule="auto"/>
        <w:jc w:val="center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1C18D8AE">
      <w:pPr>
        <w:spacing w:after="0" w:line="240" w:lineRule="auto"/>
        <w:jc w:val="center"/>
        <w:rPr>
          <w:rFonts w:hint="default" w:ascii="Times New Roman" w:hAnsi="Times New Roman" w:eastAsia="Calibri" w:cs="Times New Roman"/>
          <w:b/>
          <w:sz w:val="28"/>
          <w:szCs w:val="28"/>
          <w:lang w:eastAsia="en-US"/>
        </w:rPr>
      </w:pPr>
      <w:r>
        <w:rPr>
          <w:rFonts w:hint="default" w:ascii="Times New Roman" w:hAnsi="Times New Roman" w:eastAsia="Calibri" w:cs="Times New Roman"/>
          <w:sz w:val="28"/>
          <w:szCs w:val="28"/>
          <w:lang w:eastAsia="en-US"/>
        </w:rPr>
        <w:t xml:space="preserve">Тема: </w:t>
      </w:r>
      <w:r>
        <w:rPr>
          <w:rFonts w:hint="default" w:ascii="Times New Roman" w:hAnsi="Times New Roman" w:eastAsia="Calibri" w:cs="Times New Roman"/>
          <w:b/>
          <w:sz w:val="28"/>
          <w:szCs w:val="28"/>
          <w:lang w:eastAsia="en-US"/>
        </w:rPr>
        <w:t>Влияние биологической очистки на основные показатели качества сточных вод</w:t>
      </w:r>
    </w:p>
    <w:p w14:paraId="6DD91F15">
      <w:pPr>
        <w:spacing w:after="0" w:line="240" w:lineRule="auto"/>
        <w:jc w:val="center"/>
        <w:rPr>
          <w:rFonts w:hint="default" w:ascii="Times New Roman" w:hAnsi="Times New Roman" w:eastAsia="Calibri" w:cs="Times New Roman"/>
          <w:b/>
          <w:sz w:val="28"/>
          <w:szCs w:val="28"/>
          <w:lang w:eastAsia="en-US"/>
        </w:rPr>
      </w:pPr>
    </w:p>
    <w:p w14:paraId="54C6A54E">
      <w:pPr>
        <w:spacing w:after="0" w:line="240" w:lineRule="auto"/>
        <w:jc w:val="center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79DBEACA">
      <w:pPr>
        <w:spacing w:after="0" w:line="240" w:lineRule="auto"/>
        <w:jc w:val="center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55D6240F">
      <w:pPr>
        <w:spacing w:after="0" w:line="240" w:lineRule="auto"/>
        <w:jc w:val="center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4CFE5E01">
      <w:pPr>
        <w:spacing w:after="0" w:line="240" w:lineRule="auto"/>
        <w:jc w:val="center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18C5D408">
      <w:pPr>
        <w:spacing w:after="0" w:line="240" w:lineRule="auto"/>
        <w:jc w:val="center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56E0FE71">
      <w:pPr>
        <w:spacing w:after="0" w:line="240" w:lineRule="auto"/>
        <w:jc w:val="right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hint="default" w:ascii="Times New Roman" w:hAnsi="Times New Roman" w:eastAsia="Calibri" w:cs="Times New Roman"/>
          <w:sz w:val="28"/>
          <w:szCs w:val="28"/>
          <w:lang w:eastAsia="en-US"/>
        </w:rPr>
        <w:t>Автор: Хальбаева Ирина Игоревна, 10 класс,</w:t>
      </w:r>
    </w:p>
    <w:p w14:paraId="10E4279B">
      <w:pPr>
        <w:spacing w:after="0" w:line="240" w:lineRule="auto"/>
        <w:jc w:val="right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hint="default" w:ascii="Times New Roman" w:hAnsi="Times New Roman" w:eastAsia="Calibri" w:cs="Times New Roman"/>
          <w:sz w:val="28"/>
          <w:szCs w:val="28"/>
          <w:lang w:eastAsia="en-US"/>
        </w:rPr>
        <w:t>Объединение «Юные экологи» ГБУ ДО «РЭБЦ РБ»</w:t>
      </w:r>
    </w:p>
    <w:p w14:paraId="2725314C">
      <w:pPr>
        <w:spacing w:after="0" w:line="240" w:lineRule="auto"/>
        <w:jc w:val="right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hint="default" w:ascii="Times New Roman" w:hAnsi="Times New Roman" w:eastAsia="Calibri" w:cs="Times New Roman"/>
          <w:sz w:val="28"/>
          <w:szCs w:val="28"/>
          <w:lang w:eastAsia="en-US"/>
        </w:rPr>
        <w:t xml:space="preserve">Руководитель: Тирских Наталья Николаевна, </w:t>
      </w:r>
    </w:p>
    <w:p w14:paraId="64A51A98">
      <w:pPr>
        <w:spacing w:after="0" w:line="240" w:lineRule="auto"/>
        <w:jc w:val="right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hint="default" w:ascii="Times New Roman" w:hAnsi="Times New Roman" w:eastAsia="Calibri" w:cs="Times New Roman"/>
          <w:sz w:val="28"/>
          <w:szCs w:val="28"/>
          <w:lang w:eastAsia="en-US"/>
        </w:rPr>
        <w:t>педагог дополнительного образования</w:t>
      </w:r>
    </w:p>
    <w:p w14:paraId="2686AE99">
      <w:pPr>
        <w:spacing w:after="0" w:line="240" w:lineRule="auto"/>
        <w:jc w:val="right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hint="default" w:ascii="Times New Roman" w:hAnsi="Times New Roman" w:eastAsia="Calibri" w:cs="Times New Roman"/>
          <w:sz w:val="28"/>
          <w:szCs w:val="28"/>
          <w:lang w:eastAsia="en-US"/>
        </w:rPr>
        <w:t>ГБУ ДО «РЭБЦ РБ»</w:t>
      </w:r>
    </w:p>
    <w:p w14:paraId="59C9117E">
      <w:pPr>
        <w:spacing w:after="0" w:line="240" w:lineRule="auto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1DFC0220">
      <w:pPr>
        <w:spacing w:after="0" w:line="240" w:lineRule="auto"/>
        <w:jc w:val="right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36F8E18D">
      <w:pPr>
        <w:spacing w:after="0" w:line="240" w:lineRule="auto"/>
        <w:jc w:val="right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5AD4CF63">
      <w:pPr>
        <w:spacing w:after="0" w:line="240" w:lineRule="auto"/>
        <w:jc w:val="right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5405EBDA">
      <w:pPr>
        <w:spacing w:after="0" w:line="240" w:lineRule="auto"/>
        <w:jc w:val="right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55EE0A59">
      <w:pPr>
        <w:spacing w:after="0" w:line="240" w:lineRule="auto"/>
        <w:jc w:val="right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17E8AF1A">
      <w:pPr>
        <w:spacing w:after="0" w:line="240" w:lineRule="auto"/>
        <w:jc w:val="right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272E9B94">
      <w:pPr>
        <w:spacing w:after="0" w:line="240" w:lineRule="auto"/>
        <w:jc w:val="right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0C248D61">
      <w:pPr>
        <w:spacing w:after="0" w:line="240" w:lineRule="auto"/>
        <w:jc w:val="right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47CA1E5E">
      <w:pPr>
        <w:spacing w:after="0" w:line="240" w:lineRule="auto"/>
        <w:jc w:val="right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27545BB8">
      <w:pPr>
        <w:spacing w:after="0" w:line="240" w:lineRule="auto"/>
        <w:jc w:val="right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22960259">
      <w:pPr>
        <w:spacing w:after="0" w:line="240" w:lineRule="auto"/>
        <w:jc w:val="right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5BB1ADB8">
      <w:pPr>
        <w:spacing w:after="0" w:line="240" w:lineRule="auto"/>
        <w:jc w:val="right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4012684A">
      <w:pPr>
        <w:spacing w:after="0" w:line="240" w:lineRule="auto"/>
        <w:jc w:val="right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27AE8BFB">
      <w:pPr>
        <w:spacing w:after="0" w:line="240" w:lineRule="auto"/>
        <w:jc w:val="right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3FAD89FE">
      <w:pPr>
        <w:spacing w:after="0" w:line="240" w:lineRule="auto"/>
        <w:jc w:val="right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6407A5B9">
      <w:pPr>
        <w:spacing w:after="0" w:line="240" w:lineRule="auto"/>
        <w:jc w:val="center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hint="default" w:ascii="Times New Roman" w:hAnsi="Times New Roman" w:eastAsia="Calibri" w:cs="Times New Roman"/>
          <w:sz w:val="28"/>
          <w:szCs w:val="28"/>
          <w:lang w:eastAsia="en-US"/>
        </w:rPr>
        <w:t>Улан-Удэ</w:t>
      </w:r>
    </w:p>
    <w:p w14:paraId="4620C2F9">
      <w:pPr>
        <w:spacing w:after="0" w:line="240" w:lineRule="auto"/>
        <w:jc w:val="center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hint="default" w:ascii="Times New Roman" w:hAnsi="Times New Roman" w:eastAsia="Calibri" w:cs="Times New Roman"/>
          <w:sz w:val="28"/>
          <w:szCs w:val="28"/>
          <w:lang w:eastAsia="en-US"/>
        </w:rPr>
        <w:t>2026 г.</w:t>
      </w:r>
    </w:p>
    <w:p w14:paraId="71C87A9C">
      <w:pPr>
        <w:spacing w:after="0" w:line="240" w:lineRule="auto"/>
        <w:jc w:val="center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hint="default" w:ascii="Times New Roman" w:hAnsi="Times New Roman" w:eastAsia="Calibri" w:cs="Times New Roman"/>
          <w:sz w:val="28"/>
          <w:szCs w:val="28"/>
          <w:lang w:eastAsia="en-US"/>
        </w:rPr>
        <w:t>Оглавление</w:t>
      </w:r>
    </w:p>
    <w:tbl>
      <w:tblPr>
        <w:tblStyle w:val="15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"/>
        <w:gridCol w:w="7938"/>
        <w:gridCol w:w="562"/>
      </w:tblGrid>
      <w:tr w14:paraId="5BDDFE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236A7633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7938" w:type="dxa"/>
          </w:tcPr>
          <w:p w14:paraId="7697E1CA"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Введение…………………………………………………………………………</w:t>
            </w:r>
          </w:p>
        </w:tc>
        <w:tc>
          <w:tcPr>
            <w:tcW w:w="562" w:type="dxa"/>
          </w:tcPr>
          <w:p w14:paraId="54873775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3</w:t>
            </w:r>
          </w:p>
        </w:tc>
      </w:tr>
      <w:tr w14:paraId="173877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7213149D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7938" w:type="dxa"/>
          </w:tcPr>
          <w:p w14:paraId="3EBE843C"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Локальная очистная станция «Топас» …………………………………………</w:t>
            </w:r>
          </w:p>
        </w:tc>
        <w:tc>
          <w:tcPr>
            <w:tcW w:w="562" w:type="dxa"/>
          </w:tcPr>
          <w:p w14:paraId="39A93D09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5</w:t>
            </w:r>
          </w:p>
        </w:tc>
      </w:tr>
      <w:tr w14:paraId="58485B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3C6AD42A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7938" w:type="dxa"/>
          </w:tcPr>
          <w:p w14:paraId="5441A719"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Материалы и методы исследования ……………………………………………</w:t>
            </w:r>
          </w:p>
        </w:tc>
        <w:tc>
          <w:tcPr>
            <w:tcW w:w="562" w:type="dxa"/>
          </w:tcPr>
          <w:p w14:paraId="3C768545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6</w:t>
            </w:r>
          </w:p>
        </w:tc>
      </w:tr>
      <w:tr w14:paraId="0F6D11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3469D1B9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7938" w:type="dxa"/>
          </w:tcPr>
          <w:p w14:paraId="160D8D51"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2.1. Определение фитотоксичности воды, очищенной с помощью локального очистного сооружения …………………………………………....</w:t>
            </w:r>
          </w:p>
        </w:tc>
        <w:tc>
          <w:tcPr>
            <w:tcW w:w="562" w:type="dxa"/>
          </w:tcPr>
          <w:p w14:paraId="1B5BE344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</w:p>
          <w:p w14:paraId="50B6B506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6</w:t>
            </w:r>
          </w:p>
        </w:tc>
      </w:tr>
      <w:tr w14:paraId="297EED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42509EDA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7938" w:type="dxa"/>
          </w:tcPr>
          <w:p w14:paraId="5B771C14"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 xml:space="preserve">2.2. Определение </w:t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val="en-US" w:eastAsia="en-US"/>
              </w:rPr>
              <w:t>pH</w:t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 xml:space="preserve"> очищенной сточной воды ………………………………</w:t>
            </w:r>
          </w:p>
        </w:tc>
        <w:tc>
          <w:tcPr>
            <w:tcW w:w="562" w:type="dxa"/>
          </w:tcPr>
          <w:p w14:paraId="7C35A582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6</w:t>
            </w:r>
          </w:p>
        </w:tc>
      </w:tr>
      <w:tr w14:paraId="7FB064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30D1E3C4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7938" w:type="dxa"/>
          </w:tcPr>
          <w:p w14:paraId="6F74F326"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2.3. Определение мутности …………………………………………………….</w:t>
            </w:r>
          </w:p>
        </w:tc>
        <w:tc>
          <w:tcPr>
            <w:tcW w:w="562" w:type="dxa"/>
          </w:tcPr>
          <w:p w14:paraId="79EC3B0F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6</w:t>
            </w:r>
          </w:p>
        </w:tc>
      </w:tr>
      <w:tr w14:paraId="7BA49C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4A8B8221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7938" w:type="dxa"/>
          </w:tcPr>
          <w:p w14:paraId="21795697"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2.4. Определение взвешенных частиц………………………………………….</w:t>
            </w:r>
          </w:p>
        </w:tc>
        <w:tc>
          <w:tcPr>
            <w:tcW w:w="562" w:type="dxa"/>
          </w:tcPr>
          <w:p w14:paraId="064CE3CB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7</w:t>
            </w:r>
          </w:p>
        </w:tc>
      </w:tr>
      <w:tr w14:paraId="563A01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7EE4CBA9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7938" w:type="dxa"/>
          </w:tcPr>
          <w:p w14:paraId="573B3FA7"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2.5. Атомно-эмиссионный спектрометрический анализ……………………...</w:t>
            </w:r>
          </w:p>
        </w:tc>
        <w:tc>
          <w:tcPr>
            <w:tcW w:w="562" w:type="dxa"/>
          </w:tcPr>
          <w:p w14:paraId="079B2A4C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7</w:t>
            </w:r>
          </w:p>
        </w:tc>
      </w:tr>
      <w:tr w14:paraId="3E608E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2E06E5CF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7938" w:type="dxa"/>
          </w:tcPr>
          <w:p w14:paraId="2B5692AB"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2.6. Определение патогенных микроорганизмов……………………………...</w:t>
            </w:r>
          </w:p>
        </w:tc>
        <w:tc>
          <w:tcPr>
            <w:tcW w:w="562" w:type="dxa"/>
          </w:tcPr>
          <w:p w14:paraId="11E218C5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7</w:t>
            </w:r>
          </w:p>
        </w:tc>
      </w:tr>
      <w:tr w14:paraId="4ABD26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5F067A26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7938" w:type="dxa"/>
          </w:tcPr>
          <w:p w14:paraId="238DCC22"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2.7. Экономическая эффективность локальной очистной станции…………..</w:t>
            </w:r>
          </w:p>
        </w:tc>
        <w:tc>
          <w:tcPr>
            <w:tcW w:w="562" w:type="dxa"/>
          </w:tcPr>
          <w:p w14:paraId="57750F39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7</w:t>
            </w:r>
          </w:p>
        </w:tc>
      </w:tr>
      <w:tr w14:paraId="02E063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562" w:type="dxa"/>
          </w:tcPr>
          <w:p w14:paraId="60C876EF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7938" w:type="dxa"/>
          </w:tcPr>
          <w:p w14:paraId="690B72F6"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Результаты и их обсуждение …………………………………………………...</w:t>
            </w:r>
          </w:p>
        </w:tc>
        <w:tc>
          <w:tcPr>
            <w:tcW w:w="562" w:type="dxa"/>
          </w:tcPr>
          <w:p w14:paraId="63BBB4B5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9</w:t>
            </w:r>
          </w:p>
        </w:tc>
      </w:tr>
      <w:tr w14:paraId="3EF640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563B946D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7938" w:type="dxa"/>
          </w:tcPr>
          <w:p w14:paraId="458F71D8"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Выводы………………………………………………………………………......</w:t>
            </w:r>
          </w:p>
        </w:tc>
        <w:tc>
          <w:tcPr>
            <w:tcW w:w="562" w:type="dxa"/>
          </w:tcPr>
          <w:p w14:paraId="29E9FFE7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10</w:t>
            </w:r>
          </w:p>
        </w:tc>
      </w:tr>
      <w:tr w14:paraId="5E5E74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65B5C0A3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7938" w:type="dxa"/>
          </w:tcPr>
          <w:p w14:paraId="16D688FB"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Заключение………………………………………………………………………</w:t>
            </w:r>
          </w:p>
        </w:tc>
        <w:tc>
          <w:tcPr>
            <w:tcW w:w="562" w:type="dxa"/>
          </w:tcPr>
          <w:p w14:paraId="5598886C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10</w:t>
            </w:r>
          </w:p>
        </w:tc>
      </w:tr>
      <w:tr w14:paraId="41CE1E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53AD7FBC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7938" w:type="dxa"/>
          </w:tcPr>
          <w:p w14:paraId="02003D3A"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Список использованной литературы…………………………………………...</w:t>
            </w:r>
          </w:p>
        </w:tc>
        <w:tc>
          <w:tcPr>
            <w:tcW w:w="562" w:type="dxa"/>
          </w:tcPr>
          <w:p w14:paraId="0F5CAF9F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11</w:t>
            </w:r>
          </w:p>
        </w:tc>
      </w:tr>
      <w:tr w14:paraId="24DBBD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72E087F8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7938" w:type="dxa"/>
          </w:tcPr>
          <w:p w14:paraId="343FA49E"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Приложения……………………………………………………………………...</w:t>
            </w:r>
          </w:p>
        </w:tc>
        <w:tc>
          <w:tcPr>
            <w:tcW w:w="562" w:type="dxa"/>
          </w:tcPr>
          <w:p w14:paraId="752749AC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12</w:t>
            </w:r>
          </w:p>
        </w:tc>
      </w:tr>
    </w:tbl>
    <w:p w14:paraId="0032261E">
      <w:pPr>
        <w:spacing w:after="0" w:line="240" w:lineRule="auto"/>
        <w:jc w:val="center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608B65C2">
      <w:pPr>
        <w:pStyle w:val="16"/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9D9281B">
      <w:pPr>
        <w:pStyle w:val="16"/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1005264">
      <w:pPr>
        <w:pStyle w:val="16"/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F72ADC9">
      <w:pPr>
        <w:pStyle w:val="16"/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5716546">
      <w:pPr>
        <w:pStyle w:val="16"/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57C7A46">
      <w:pPr>
        <w:pStyle w:val="16"/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4173D00">
      <w:pPr>
        <w:pStyle w:val="16"/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DEA2827">
      <w:pPr>
        <w:pStyle w:val="16"/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A13770D">
      <w:pPr>
        <w:pStyle w:val="16"/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9352866">
      <w:pPr>
        <w:pStyle w:val="16"/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2CC105B">
      <w:pPr>
        <w:pStyle w:val="2"/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C78683D">
      <w:pPr>
        <w:pStyle w:val="2"/>
        <w:spacing w:line="240" w:lineRule="auto"/>
        <w:jc w:val="both"/>
        <w:rPr>
          <w:rFonts w:hint="default" w:ascii="Times New Roman" w:hAnsi="Times New Roman" w:cs="Times New Roman"/>
          <w:b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Введени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е</w:t>
      </w:r>
    </w:p>
    <w:p w14:paraId="376FB6EA">
      <w:pPr>
        <w:spacing w:line="240" w:lineRule="auto"/>
        <w:ind w:firstLine="709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связи с ростом строительства частного сектора (коттеджи, загородные дома, дачи), баз отдыха, санаториев и других объектов, утилизация и обезвреживание сточных вод составляет одну из самых важных экологических проблем настоящего времени.  Возникает необходимость применения технологических приёмов, в основе которых лежат физико-химические или биохимические процессы деградации вредных компонентов сточных вод. Кроме того, важно учитывать локальность установок, как водоснабжения, так и водоотведения. Решением такого вопроса становится применение малогабаритных очистных сооружений, способных осуществить биологическую очистку хозяйственно бытовых стоков. Подобная локальная установка применяется на территории эколого-биологического центра учащихся с 2013 года. Несколько лет эксплуатации показали простоту обслуживания, непрерывную работу в условиях низкотемпературных периодов, высокую эффективность очистки хозяйственно-бытовых стоков. При контроле качества сточных вод перед физико-химическим анализом применяют метод биотестирования с целью получения быстрого и гарантированного ответа – является ли среда токсичной в условиях так называемого «суммарного эффекта». При этом наибольший интерес представляют те индикаторные показатели, которые специфически реагируют на присутствие определённых загрязнителей. Такие исследования, проведенные в первый год работы локального очистного сооружения, показали отсутствие фитотоксичности сточных вод, что позволило применение для полива насаждений в дендрарии.</w:t>
      </w:r>
    </w:p>
    <w:p w14:paraId="6D19D864">
      <w:pPr>
        <w:spacing w:line="240" w:lineRule="auto"/>
        <w:ind w:firstLine="709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Сточные воды представляют собой очень сложную в отношении элементного состава систему. Они загрязняются компонентами органической и неорганической природы и приобретают специфические особенности, зависящие от характера хозяйственной деятельности, предшествующей их возникновению. Основная масса органических веществ, поступающих на канализационные очистные сооружения, удаляется в сооружениях биологической очистки – аэротенках с помощью биоценоза активного ила, но элементный состав также преобразуется при взаимодействии с сообществами микроорганизмов. В связи с этим, актуальным является анализ характеристик и выявление в стоках веществ или отдельных компонентов, соответствующих нормативных предельно допустимых концентраций (ПДК) хозяйственно-бытового сброса. Продолжение работ по проекту опыта применения локальных очистных сооружений достигает и решает следующие цели и задачи.</w:t>
      </w:r>
    </w:p>
    <w:p w14:paraId="05FF624C">
      <w:pPr>
        <w:spacing w:line="240" w:lineRule="auto"/>
        <w:ind w:firstLine="709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рациональное использование водных ресурсов посредством применения локального сооружения, способного осуществить биологическую очистку бытовых стоков на базе эколого-биологического центра Республики Бурятия.</w:t>
      </w:r>
    </w:p>
    <w:p w14:paraId="547364F1">
      <w:pPr>
        <w:spacing w:line="240" w:lineRule="auto"/>
        <w:ind w:firstLine="709"/>
        <w:contextualSpacing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Задачи:</w:t>
      </w:r>
    </w:p>
    <w:p w14:paraId="3206B670">
      <w:pPr>
        <w:numPr>
          <w:ilvl w:val="0"/>
          <w:numId w:val="1"/>
        </w:numPr>
        <w:spacing w:line="240" w:lineRule="auto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Изучение системы очистных сооружений биологической очистки воды, работы аэротенок; </w:t>
      </w:r>
    </w:p>
    <w:p w14:paraId="545E1897">
      <w:pPr>
        <w:numPr>
          <w:ilvl w:val="0"/>
          <w:numId w:val="1"/>
        </w:numPr>
        <w:spacing w:line="240" w:lineRule="auto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Провести анализ качества бытовых сточных вод, очищенных с помощью локальной системы;</w:t>
      </w:r>
    </w:p>
    <w:p w14:paraId="6B269FEE">
      <w:pPr>
        <w:numPr>
          <w:ilvl w:val="0"/>
          <w:numId w:val="1"/>
        </w:numPr>
        <w:tabs>
          <w:tab w:val="left" w:pos="720"/>
        </w:tabs>
        <w:spacing w:line="240" w:lineRule="auto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Оценить экономическую эффективность эксплуатации локального очистного сооружения.</w:t>
      </w:r>
    </w:p>
    <w:p w14:paraId="357130A6">
      <w:pPr>
        <w:spacing w:line="240" w:lineRule="auto"/>
        <w:ind w:left="710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40C3A1A">
      <w:pPr>
        <w:spacing w:after="0" w:line="240" w:lineRule="auto"/>
        <w:ind w:firstLine="709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1269968F">
      <w:pPr>
        <w:spacing w:after="0" w:line="240" w:lineRule="auto"/>
        <w:ind w:firstLine="709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33D0C1FE">
      <w:pPr>
        <w:spacing w:after="0" w:line="240" w:lineRule="auto"/>
        <w:ind w:firstLine="709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7E255772">
      <w:pPr>
        <w:spacing w:after="0" w:line="240" w:lineRule="auto"/>
        <w:ind w:firstLine="709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128FB773">
      <w:pPr>
        <w:spacing w:after="0" w:line="240" w:lineRule="auto"/>
        <w:ind w:firstLine="709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4C854D45">
      <w:pPr>
        <w:spacing w:after="0" w:line="240" w:lineRule="auto"/>
        <w:ind w:firstLine="709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38F22C5D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074BDB23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7912346D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530FD3F0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5E1BF6E2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56F899D9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699EB5B2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63A6B4D4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2E7EA083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0E6F592D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5D48FE6D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448D968A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70F52BD4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1C692DCD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2ECCE58B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7B376110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32119C35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58E14DF1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33719244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683C21CF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0D78C192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289867C8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48F1EFC0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0B6D425F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46D99ECF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693208E9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1AB6994E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03E1C220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4EA92243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0D9FEBDD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1ECD078F">
      <w:pPr>
        <w:pStyle w:val="16"/>
        <w:numPr>
          <w:ilvl w:val="0"/>
          <w:numId w:val="2"/>
        </w:numPr>
        <w:spacing w:after="0" w:line="240" w:lineRule="auto"/>
        <w:jc w:val="center"/>
        <w:outlineLvl w:val="0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Локальная очистная станция «Топас»</w:t>
      </w:r>
    </w:p>
    <w:p w14:paraId="7412019A">
      <w:pPr>
        <w:spacing w:line="240" w:lineRule="auto"/>
        <w:ind w:firstLine="709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Ресурсный эколого-биологический центр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Республики Бурятия </w:t>
      </w:r>
      <w:r>
        <w:rPr>
          <w:rFonts w:hint="default" w:ascii="Times New Roman" w:hAnsi="Times New Roman" w:cs="Times New Roman"/>
          <w:sz w:val="28"/>
          <w:szCs w:val="28"/>
        </w:rPr>
        <w:t>(РЭБЦ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РБ</w:t>
      </w:r>
      <w:r>
        <w:rPr>
          <w:rFonts w:hint="default" w:ascii="Times New Roman" w:hAnsi="Times New Roman" w:cs="Times New Roman"/>
          <w:sz w:val="28"/>
          <w:szCs w:val="28"/>
        </w:rPr>
        <w:t>) установил на своей территории станцию биологической очистки, выпускаемую компанией «ТОПОЛ-ЭКО».). Принцип работы заключается в следующем: сточные воды поступают в накопительный резервуар, уравновешивающий неравномерность поступления стоков. Далее сточная вода закачивается в аэротенк, где происходит разрушение органического загрязнения при помощи активного ила. Активный ил образуется в аэротенке, как продукт жизнедеятельности аэробный бактерий, поступающих с воздухом. Из аэротенка смесь очищенной воды с илом поступает во вторичный отстойник, где происходит отстаивание ила. Излишки ила перекачиваются в отсек для избыточного ила, а чистая вода выводится за пределы станции. Активный ил используется в качестве удобрения на учебно-опытном участке, а очищенные стоки для полива в летнее время (Приложение 1).</w:t>
      </w:r>
    </w:p>
    <w:p w14:paraId="44FA21C6">
      <w:pPr>
        <w:autoSpaceDE w:val="0"/>
        <w:spacing w:after="0" w:line="240" w:lineRule="auto"/>
        <w:ind w:firstLine="708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Основным показателем эффективности установки является высокая степень очистки, соответствующая российским нормам (кстати, самым строгим в мире) и достигает 98%, что исключает попадание в окружающую среду неочищенной воды. При работе станции не возникает никаких запахов, а потому ее можно устанавливать вблизи коттеджа или дачного дома. Установка отличается малым весом и габаритами, что обеспечивает удобство при транспортировке и монтаже.</w:t>
      </w:r>
    </w:p>
    <w:p w14:paraId="59FF0997">
      <w:pPr>
        <w:autoSpaceDE w:val="0"/>
        <w:spacing w:after="0" w:line="240" w:lineRule="auto"/>
        <w:ind w:firstLine="708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Полностью водонепроницаемый корпус из полипропилена исключает попадание грунтовых вод в установку, ребра жесткости и конструктивные особенности увеличивают его прочность. Материал корпуса – отличный теплоизолятор. Все это позволяет устанавливать станции в любых типах грунта и климатических зонах.</w:t>
      </w:r>
    </w:p>
    <w:p w14:paraId="7227A83E">
      <w:pPr>
        <w:autoSpaceDE w:val="0"/>
        <w:spacing w:line="240" w:lineRule="auto"/>
        <w:ind w:firstLine="532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Установка станции локальных очистных сооружений позволяет решать две основные задачи центра: экологическое образование и рациональное использование природных ресурсов.</w:t>
      </w:r>
    </w:p>
    <w:p w14:paraId="276565BE">
      <w:pPr>
        <w:autoSpaceDE w:val="0"/>
        <w:spacing w:line="240" w:lineRule="auto"/>
        <w:ind w:firstLine="532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Станции компании ТОПОЛ-ЭКО® уставлены в следующих учреждениях: Горячинская СОШ (Прибайкальский район), Сухинская СОШ (Кабанский район), гостевой домик «У Измайлова» (с. Энхалук, Кабанский район), учебный центр прокуратуры Республики Бурятия (с. Култушная, Кабанский район).</w:t>
      </w:r>
    </w:p>
    <w:p w14:paraId="472068B4">
      <w:pPr>
        <w:pStyle w:val="16"/>
        <w:numPr>
          <w:ilvl w:val="0"/>
          <w:numId w:val="2"/>
        </w:numPr>
        <w:spacing w:after="0" w:line="240" w:lineRule="auto"/>
        <w:jc w:val="center"/>
        <w:outlineLvl w:val="0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Материалы и методы исследования</w:t>
      </w:r>
    </w:p>
    <w:p w14:paraId="2D1186A4">
      <w:pPr>
        <w:autoSpaceDE w:val="0"/>
        <w:spacing w:after="0" w:line="240" w:lineRule="auto"/>
        <w:ind w:firstLine="709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В рамках сотрудничества оборудование, приборы и реактивы для проведения анализа очищенной сточной воды предоставлено Региональным центром выявления, поддержки и развития способностей и талантов у детей и молодежи «Асториум» и Малое инновационное предприятие «Байкальский институт биотехнологий».</w:t>
      </w:r>
    </w:p>
    <w:p w14:paraId="51D79F12">
      <w:pPr>
        <w:pStyle w:val="16"/>
        <w:numPr>
          <w:ilvl w:val="1"/>
          <w:numId w:val="2"/>
        </w:numPr>
        <w:spacing w:after="0" w:line="240" w:lineRule="auto"/>
        <w:jc w:val="center"/>
        <w:outlineLvl w:val="1"/>
        <w:rPr>
          <w:rFonts w:hint="default"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Определение фитотоксичности воды, очищенной с помощью локального очистного сооружения.</w:t>
      </w:r>
    </w:p>
    <w:p w14:paraId="4E85E550">
      <w:pPr>
        <w:spacing w:after="0" w:line="24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Определение токсичности воды после биологической очистки локальной очистной станции «Топас» проводили методом биотестирования (</w:t>
      </w:r>
      <w:r>
        <w:rPr>
          <w:rFonts w:hint="default" w:ascii="Times New Roman" w:hAnsi="Times New Roman" w:cs="Times New Roman"/>
          <w:sz w:val="28"/>
          <w:szCs w:val="28"/>
        </w:rPr>
        <w:t>путем проращивания семян редиса при поливе очищенной водой в сравнении с поливом водопроводной водой (контроль).</w:t>
      </w:r>
    </w:p>
    <w:p w14:paraId="4570C57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Мы исследовали прорастаемость семян в образцах воды: контрольной и опытной. В чашки Петри на ватный диск положили по 10 семян редиса. Были заложены три повторности. Пробу №1 поливали водой из крана, а пробу № 2 поливали водой после биологической очистки в локальной очистной станции «Топас».</w:t>
      </w:r>
      <w:r>
        <w:rPr>
          <w:rFonts w:hint="default"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Уже на второй день эксперимента семена начали прорастать.  Высокая всхожесть семян была отмечена в   обеих пробах. (Приложение 2,3)</w:t>
      </w:r>
    </w:p>
    <w:p w14:paraId="532FE0E2">
      <w:pPr>
        <w:pStyle w:val="3"/>
        <w:spacing w:line="240" w:lineRule="auto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2.2. Определение pH воды, очищенной с помощью локального очистного сооружения</w:t>
      </w:r>
      <w:r>
        <w:rPr>
          <w:rFonts w:hint="default" w:ascii="Times New Roman" w:hAnsi="Times New Roman" w:cs="Times New Roman"/>
          <w:b/>
          <w:sz w:val="28"/>
          <w:szCs w:val="28"/>
        </w:rPr>
        <w:t>.</w:t>
      </w:r>
    </w:p>
    <w:p w14:paraId="393D2014">
      <w:pPr>
        <w:tabs>
          <w:tab w:val="left" w:pos="709"/>
        </w:tabs>
        <w:spacing w:after="0" w:line="24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Определяли pH очищенной сточной воды с помощью портативного pH-метра ИТ1101 (НПО «Измерительная техника ИТ», Россия), позволяющий измерить активность ионов водорода и температуру в водном растворе или взвесях в полевых условиях. Пробы сточной очищенной воды наливали в мерный стакан (50 мл) и помещали в него комбинированный электрод с полипропиленовым корпусом, интегрированный с термодатчиком, данные выводились на дисплей прибора. Производили замеры активности ионов водорода и температуры сточной очищенной воды не менее 3 раз. (Приложение 4)</w:t>
      </w:r>
    </w:p>
    <w:p w14:paraId="72FD07B3">
      <w:pPr>
        <w:pStyle w:val="3"/>
        <w:spacing w:before="0" w:line="240" w:lineRule="auto"/>
        <w:jc w:val="center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2.3.Определение мутности воды.</w:t>
      </w:r>
    </w:p>
    <w:p w14:paraId="7AFDB463">
      <w:pPr>
        <w:tabs>
          <w:tab w:val="left" w:pos="709"/>
        </w:tabs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>Мутность воды определяли с помощью портативного турбидиметра (мутномер) (HI 98703, Hanna instr., Германия), позволяющего измерить мутность водных растворов в полевых условиях. Помещали кювету с очищенной сточной водой в прибор и производили замеры ее не менее 3 раз в течение 5 минут.</w:t>
      </w:r>
    </w:p>
    <w:p w14:paraId="656E7437">
      <w:pPr>
        <w:pStyle w:val="3"/>
        <w:spacing w:line="240" w:lineRule="auto"/>
        <w:jc w:val="center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2.4.Определение взвешенных частиц.</w:t>
      </w:r>
    </w:p>
    <w:p w14:paraId="5214EC6B">
      <w:pPr>
        <w:pStyle w:val="16"/>
        <w:tabs>
          <w:tab w:val="left" w:pos="709"/>
        </w:tabs>
        <w:spacing w:after="0" w:line="240" w:lineRule="auto"/>
        <w:ind w:left="142"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Определение количества взвешенных частиц в очищенной сточной воде проводили на базе Малого инновационного предприятия «Байкальский институт биотехнологий». Для подсчета использовали счетчик ТС02. Забор проб делали из аэротенка и отстойника очищенной сточной воды. Пробы воды взбалтывали и помещали в счетную пластину объемом 10 микролитров, которую, в свою очередь, помещали в счетчик. Данные выводились на экран прибора. (Приложение 5)</w:t>
      </w:r>
    </w:p>
    <w:p w14:paraId="1AB040A0">
      <w:pPr>
        <w:pStyle w:val="16"/>
        <w:tabs>
          <w:tab w:val="left" w:pos="709"/>
        </w:tabs>
        <w:spacing w:after="0" w:line="240" w:lineRule="auto"/>
        <w:ind w:left="142" w:firstLine="709"/>
        <w:jc w:val="center"/>
        <w:outlineLvl w:val="1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2.5.</w:t>
      </w:r>
      <w:r>
        <w:rPr>
          <w:rFonts w:hint="default" w:ascii="Times New Roman" w:hAnsi="Times New Roman" w:cs="Times New Roman"/>
          <w:b/>
          <w:sz w:val="28"/>
          <w:szCs w:val="28"/>
        </w:rPr>
        <w:tab/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Атомно-эмиссионный спектрометрический анализ воды.</w:t>
      </w:r>
    </w:p>
    <w:p w14:paraId="212B58BD">
      <w:pPr>
        <w:pStyle w:val="16"/>
        <w:tabs>
          <w:tab w:val="left" w:pos="709"/>
        </w:tabs>
        <w:spacing w:after="0" w:line="240" w:lineRule="auto"/>
        <w:ind w:left="142"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Подготовка образца. Для микрокомпонентного анализа воды проводили пробоподготовку. Пробы воды отфильтровали через мембранный фильтр (Millipore, США). Добавляли 2 мл концентрированной азотной кислоты к 300 мл воды для консервации.</w:t>
      </w:r>
    </w:p>
    <w:p w14:paraId="68073C63">
      <w:pPr>
        <w:pStyle w:val="16"/>
        <w:tabs>
          <w:tab w:val="left" w:pos="709"/>
        </w:tabs>
        <w:spacing w:after="0" w:line="240" w:lineRule="auto"/>
        <w:ind w:left="142"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Испарение анализируемой пробы. 10 мл воды помещали в фарфоровую чашку, проводили прокаливание, взвешивали сухой остаток пробы.</w:t>
      </w:r>
    </w:p>
    <w:p w14:paraId="41F4C727">
      <w:pPr>
        <w:pStyle w:val="16"/>
        <w:tabs>
          <w:tab w:val="left" w:pos="709"/>
        </w:tabs>
        <w:spacing w:after="0" w:line="240" w:lineRule="auto"/>
        <w:ind w:left="142"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Элементный состав раствора определяли с помощью пламенной фотометрии атомно-эмиссионной спектроскопии (Profile Plus, Teledyne, США). Атомно-эмиссионный спектрометрический анализ воды проводили в лаборатории химии природных систем Байкальского института природопользования СО РАН.</w:t>
      </w:r>
    </w:p>
    <w:p w14:paraId="1D77977E">
      <w:pPr>
        <w:pStyle w:val="16"/>
        <w:tabs>
          <w:tab w:val="left" w:pos="709"/>
        </w:tabs>
        <w:spacing w:after="0" w:line="240" w:lineRule="auto"/>
        <w:ind w:left="502"/>
        <w:jc w:val="center"/>
        <w:outlineLvl w:val="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2.6. Определение патогенных микроорганизмов.</w:t>
      </w:r>
    </w:p>
    <w:p w14:paraId="352BD21E">
      <w:pPr>
        <w:shd w:val="clear" w:color="auto" w:fill="FBFBFB"/>
        <w:spacing w:after="0" w:line="240" w:lineRule="auto"/>
        <w:ind w:firstLine="709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Анализ на определение патогенных микроорганизмов проводили в медицинском центре «Диагрупп» методом ПЦР-диагностики (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  <w:t>полимеразная цепная реакция) - высокоточный метод диагностики многочисленных инфекций, который основывается на исследовании генетического материала микроорганизмов (ДНК и РНК). В зависимости от цели исследования используются кровь, слюна, мокрота, выделения половых органов и прочее биологические материалы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  <w:t xml:space="preserve">).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  <w:t xml:space="preserve">Пробы брали в отстойнике очищенной воды. </w:t>
      </w:r>
    </w:p>
    <w:p w14:paraId="1DADDA81">
      <w:pPr>
        <w:shd w:val="clear" w:color="auto" w:fill="FBFBFB"/>
        <w:spacing w:after="0" w:line="240" w:lineRule="auto"/>
        <w:ind w:left="142"/>
        <w:jc w:val="center"/>
        <w:outlineLvl w:val="1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</w:rPr>
        <w:t>2.7. Экономическая эффективность локальной очистной станции</w:t>
      </w:r>
    </w:p>
    <w:p w14:paraId="3F8AE943">
      <w:pPr>
        <w:spacing w:after="0" w:line="240" w:lineRule="auto"/>
        <w:ind w:firstLine="709"/>
        <w:jc w:val="both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hint="default" w:ascii="Times New Roman" w:hAnsi="Times New Roman" w:eastAsia="Calibri" w:cs="Times New Roman"/>
          <w:sz w:val="28"/>
          <w:szCs w:val="28"/>
          <w:lang w:eastAsia="en-US"/>
        </w:rPr>
        <w:t>Размер экономически обоснованных расходов, определенный в соответствии с основами ценообразования в сфере водоснабжения и водоотведения, утвержденный постановлением Правительства Российской Федерации от 13 мая 2013 г. №406, при расчетной величине тарифа – 39,59 руб./куб.м. и показаниями счетчика водопотребления в 2024 г. эколого-биологического центра – 695,2 м</w:t>
      </w:r>
      <w:r>
        <w:rPr>
          <w:rFonts w:hint="default" w:ascii="Times New Roman" w:hAnsi="Times New Roman" w:eastAsia="Calibri" w:cs="Times New Roman"/>
          <w:sz w:val="28"/>
          <w:szCs w:val="28"/>
          <w:vertAlign w:val="superscript"/>
          <w:lang w:eastAsia="en-US"/>
        </w:rPr>
        <w:t>3</w:t>
      </w:r>
      <w:r>
        <w:rPr>
          <w:rFonts w:hint="default" w:ascii="Times New Roman" w:hAnsi="Times New Roman" w:eastAsia="Calibri" w:cs="Times New Roman"/>
          <w:sz w:val="28"/>
          <w:szCs w:val="28"/>
          <w:lang w:eastAsia="en-US"/>
        </w:rPr>
        <w:t xml:space="preserve"> , составил </w:t>
      </w:r>
      <w:r>
        <w:rPr>
          <w:rFonts w:hint="default" w:ascii="Times New Roman" w:hAnsi="Times New Roman" w:eastAsia="Calibri" w:cs="Times New Roman"/>
          <w:color w:val="000000"/>
          <w:kern w:val="24"/>
          <w:sz w:val="28"/>
          <w:szCs w:val="28"/>
          <w:lang w:eastAsia="en-US"/>
        </w:rPr>
        <w:t xml:space="preserve"> </w:t>
      </w:r>
      <w:r>
        <w:rPr>
          <w:rFonts w:hint="default" w:ascii="Times New Roman" w:hAnsi="Times New Roman" w:eastAsia="Calibri" w:cs="Times New Roman"/>
          <w:sz w:val="28"/>
          <w:szCs w:val="28"/>
          <w:lang w:eastAsia="en-US"/>
        </w:rPr>
        <w:t>27 522,9. Таким образом, экономия средств эколого-биологического центра на водоотведение в 2024 г. составила 27 522,9. Окупаемость ЛОС составляет 3 года, т.к. стоимость сооружения и инсталляции в 2013 г. составляла 130 000,00 (сто тридцать тысяч) руб.</w:t>
      </w:r>
    </w:p>
    <w:p w14:paraId="24FCF1C3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3BE294EE">
      <w:pPr>
        <w:spacing w:after="0" w:line="240" w:lineRule="auto"/>
        <w:ind w:firstLine="709"/>
        <w:jc w:val="right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hint="default" w:ascii="Times New Roman" w:hAnsi="Times New Roman" w:eastAsia="Calibri" w:cs="Times New Roman"/>
          <w:sz w:val="28"/>
          <w:szCs w:val="28"/>
          <w:lang w:eastAsia="en-US"/>
        </w:rPr>
        <w:t>Таблица 1.</w:t>
      </w:r>
    </w:p>
    <w:p w14:paraId="2B9FD881">
      <w:pPr>
        <w:spacing w:after="0" w:line="240" w:lineRule="auto"/>
        <w:jc w:val="center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hint="default" w:ascii="Times New Roman" w:hAnsi="Times New Roman" w:eastAsia="Calibri" w:cs="Times New Roman"/>
          <w:sz w:val="28"/>
          <w:szCs w:val="28"/>
          <w:lang w:eastAsia="en-US"/>
        </w:rPr>
        <w:t>Сравнительная характеристика денежных затрат при наличии различных устройств для сточных вод</w:t>
      </w:r>
    </w:p>
    <w:tbl>
      <w:tblPr>
        <w:tblStyle w:val="15"/>
        <w:tblW w:w="9209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3"/>
        <w:gridCol w:w="1984"/>
        <w:gridCol w:w="2410"/>
        <w:gridCol w:w="3402"/>
      </w:tblGrid>
      <w:tr w14:paraId="6AB8A08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 w14:paraId="652147B8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</w:tcPr>
          <w:p w14:paraId="310C40AD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Себестоимость+установка</w:t>
            </w:r>
          </w:p>
          <w:p w14:paraId="10425360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(тыс. ₽)</w:t>
            </w:r>
          </w:p>
        </w:tc>
        <w:tc>
          <w:tcPr>
            <w:tcW w:w="2410" w:type="dxa"/>
            <w:tcBorders>
              <w:right w:val="single" w:color="auto" w:sz="4" w:space="0"/>
            </w:tcBorders>
          </w:tcPr>
          <w:p w14:paraId="74A3DA50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Затраты в год, ₽</w:t>
            </w:r>
          </w:p>
          <w:p w14:paraId="36420C9E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left w:val="single" w:color="auto" w:sz="4" w:space="0"/>
            </w:tcBorders>
          </w:tcPr>
          <w:p w14:paraId="10A7A479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Затраты за пять лет, ₽</w:t>
            </w:r>
          </w:p>
        </w:tc>
      </w:tr>
      <w:tr w14:paraId="6611427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 w14:paraId="3D9D854E"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 xml:space="preserve">Локальная очистная станция </w:t>
            </w:r>
          </w:p>
          <w:p w14:paraId="17A74CEE"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«Топол-ЭКО»</w:t>
            </w:r>
          </w:p>
        </w:tc>
        <w:tc>
          <w:tcPr>
            <w:tcW w:w="1984" w:type="dxa"/>
          </w:tcPr>
          <w:p w14:paraId="13A3DE54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130 000,00</w:t>
            </w:r>
          </w:p>
        </w:tc>
        <w:tc>
          <w:tcPr>
            <w:tcW w:w="2410" w:type="dxa"/>
            <w:tcBorders>
              <w:right w:val="single" w:color="auto" w:sz="4" w:space="0"/>
            </w:tcBorders>
          </w:tcPr>
          <w:p w14:paraId="314C2D77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Техническое обслуживание 2 раз в год 5 000 х 2 = 10 000,00</w:t>
            </w:r>
          </w:p>
        </w:tc>
        <w:tc>
          <w:tcPr>
            <w:tcW w:w="3402" w:type="dxa"/>
            <w:tcBorders>
              <w:left w:val="single" w:color="auto" w:sz="4" w:space="0"/>
            </w:tcBorders>
          </w:tcPr>
          <w:p w14:paraId="0F613471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10 000,00 х 5 = 50 000,00</w:t>
            </w:r>
          </w:p>
        </w:tc>
      </w:tr>
      <w:tr w14:paraId="22A926B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 w14:paraId="2F613E02"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Септик</w:t>
            </w:r>
          </w:p>
        </w:tc>
        <w:tc>
          <w:tcPr>
            <w:tcW w:w="1984" w:type="dxa"/>
          </w:tcPr>
          <w:p w14:paraId="3595C754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30 000,00</w:t>
            </w:r>
          </w:p>
        </w:tc>
        <w:tc>
          <w:tcPr>
            <w:tcW w:w="2410" w:type="dxa"/>
            <w:tcBorders>
              <w:right w:val="single" w:color="auto" w:sz="4" w:space="0"/>
            </w:tcBorders>
          </w:tcPr>
          <w:p w14:paraId="70497210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Осенизатор 2 000 (3-4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м³) х 12 месяцев = 24 000,00</w:t>
            </w:r>
          </w:p>
        </w:tc>
        <w:tc>
          <w:tcPr>
            <w:tcW w:w="3402" w:type="dxa"/>
            <w:tcBorders>
              <w:left w:val="single" w:color="auto" w:sz="4" w:space="0"/>
            </w:tcBorders>
          </w:tcPr>
          <w:p w14:paraId="05CDACB9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24 000 х 5 = 120 000,00</w:t>
            </w:r>
          </w:p>
        </w:tc>
      </w:tr>
    </w:tbl>
    <w:p w14:paraId="78DD4C3E">
      <w:pPr>
        <w:spacing w:after="0" w:line="240" w:lineRule="auto"/>
        <w:ind w:firstLine="709"/>
        <w:jc w:val="center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62CBAF32">
      <w:pPr>
        <w:spacing w:after="0" w:line="240" w:lineRule="auto"/>
        <w:ind w:firstLine="709"/>
        <w:jc w:val="right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hint="default" w:ascii="Times New Roman" w:hAnsi="Times New Roman" w:eastAsia="Calibri" w:cs="Times New Roman"/>
          <w:sz w:val="28"/>
          <w:szCs w:val="28"/>
          <w:lang w:eastAsia="en-US"/>
        </w:rPr>
        <w:t>Таблица 2.</w:t>
      </w:r>
    </w:p>
    <w:p w14:paraId="39298E85">
      <w:pPr>
        <w:spacing w:after="0" w:line="240" w:lineRule="auto"/>
        <w:ind w:firstLine="709"/>
        <w:jc w:val="center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hint="default" w:ascii="Times New Roman" w:hAnsi="Times New Roman" w:eastAsia="Calibri" w:cs="Times New Roman"/>
          <w:sz w:val="28"/>
          <w:szCs w:val="28"/>
          <w:lang w:eastAsia="en-US"/>
        </w:rPr>
        <w:t>Затраты РЭБЦ на водоотведение по показаниям счетчика водопотребления за три года при в сравнении с ЛОС:</w:t>
      </w:r>
    </w:p>
    <w:tbl>
      <w:tblPr>
        <w:tblStyle w:val="15"/>
        <w:tblW w:w="9209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"/>
        <w:gridCol w:w="1868"/>
        <w:gridCol w:w="2051"/>
        <w:gridCol w:w="1984"/>
        <w:gridCol w:w="2435"/>
      </w:tblGrid>
      <w:tr w14:paraId="57C0E45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" w:type="dxa"/>
            <w:tcBorders>
              <w:right w:val="single" w:color="auto" w:sz="4" w:space="0"/>
            </w:tcBorders>
          </w:tcPr>
          <w:p w14:paraId="1104837D">
            <w:pPr>
              <w:spacing w:after="0"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987" w:type="dxa"/>
            <w:tcBorders>
              <w:left w:val="single" w:color="auto" w:sz="4" w:space="0"/>
              <w:right w:val="single" w:color="auto" w:sz="4" w:space="0"/>
            </w:tcBorders>
          </w:tcPr>
          <w:p w14:paraId="1FFBEC59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Показания счетчика водопотребления за год, м³</w:t>
            </w:r>
          </w:p>
        </w:tc>
        <w:tc>
          <w:tcPr>
            <w:tcW w:w="1789" w:type="dxa"/>
            <w:tcBorders>
              <w:right w:val="single" w:color="auto" w:sz="4" w:space="0"/>
            </w:tcBorders>
          </w:tcPr>
          <w:p w14:paraId="07BA874D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Тариф за водоотведение, руб. за м³</w:t>
            </w:r>
          </w:p>
        </w:tc>
        <w:tc>
          <w:tcPr>
            <w:tcW w:w="2077" w:type="dxa"/>
            <w:tcBorders>
              <w:right w:val="single" w:color="auto" w:sz="4" w:space="0"/>
            </w:tcBorders>
          </w:tcPr>
          <w:p w14:paraId="0511A636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 xml:space="preserve">Локальная очистная </w:t>
            </w:r>
          </w:p>
          <w:p w14:paraId="53511523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 xml:space="preserve">станция </w:t>
            </w:r>
          </w:p>
          <w:p w14:paraId="7CD7EFDA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«Топол-ЭКО», ₽</w:t>
            </w:r>
          </w:p>
        </w:tc>
        <w:tc>
          <w:tcPr>
            <w:tcW w:w="2474" w:type="dxa"/>
            <w:tcBorders>
              <w:left w:val="single" w:color="auto" w:sz="4" w:space="0"/>
            </w:tcBorders>
          </w:tcPr>
          <w:p w14:paraId="7B344594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Водоотведение, ₽</w:t>
            </w:r>
          </w:p>
        </w:tc>
      </w:tr>
      <w:tr w14:paraId="5691F98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" w:type="dxa"/>
            <w:tcBorders>
              <w:right w:val="single" w:color="auto" w:sz="4" w:space="0"/>
            </w:tcBorders>
          </w:tcPr>
          <w:p w14:paraId="1435E2F9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2022</w:t>
            </w:r>
          </w:p>
        </w:tc>
        <w:tc>
          <w:tcPr>
            <w:tcW w:w="1987" w:type="dxa"/>
            <w:tcBorders>
              <w:left w:val="single" w:color="auto" w:sz="4" w:space="0"/>
              <w:right w:val="single" w:color="auto" w:sz="4" w:space="0"/>
            </w:tcBorders>
          </w:tcPr>
          <w:p w14:paraId="6F07A84A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646,1</w:t>
            </w:r>
          </w:p>
        </w:tc>
        <w:tc>
          <w:tcPr>
            <w:tcW w:w="1789" w:type="dxa"/>
            <w:tcBorders>
              <w:right w:val="single" w:color="auto" w:sz="4" w:space="0"/>
            </w:tcBorders>
          </w:tcPr>
          <w:p w14:paraId="49D9C159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31,32</w:t>
            </w:r>
          </w:p>
        </w:tc>
        <w:tc>
          <w:tcPr>
            <w:tcW w:w="2077" w:type="dxa"/>
            <w:tcBorders>
              <w:right w:val="single" w:color="auto" w:sz="4" w:space="0"/>
            </w:tcBorders>
          </w:tcPr>
          <w:p w14:paraId="7F5EB854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2474" w:type="dxa"/>
            <w:tcBorders>
              <w:left w:val="single" w:color="auto" w:sz="4" w:space="0"/>
            </w:tcBorders>
          </w:tcPr>
          <w:p w14:paraId="0E64EF44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646,1 х 31,32 = 20 235,8</w:t>
            </w:r>
          </w:p>
        </w:tc>
      </w:tr>
      <w:tr w14:paraId="683A112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" w:type="dxa"/>
            <w:tcBorders>
              <w:right w:val="single" w:color="auto" w:sz="4" w:space="0"/>
            </w:tcBorders>
          </w:tcPr>
          <w:p w14:paraId="4D89EEB4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2023</w:t>
            </w:r>
          </w:p>
        </w:tc>
        <w:tc>
          <w:tcPr>
            <w:tcW w:w="1987" w:type="dxa"/>
            <w:tcBorders>
              <w:left w:val="single" w:color="auto" w:sz="4" w:space="0"/>
              <w:right w:val="single" w:color="auto" w:sz="4" w:space="0"/>
            </w:tcBorders>
          </w:tcPr>
          <w:p w14:paraId="44966A3F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683,6</w:t>
            </w:r>
          </w:p>
        </w:tc>
        <w:tc>
          <w:tcPr>
            <w:tcW w:w="1789" w:type="dxa"/>
            <w:tcBorders>
              <w:right w:val="single" w:color="auto" w:sz="4" w:space="0"/>
            </w:tcBorders>
          </w:tcPr>
          <w:p w14:paraId="19D1753A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34,13</w:t>
            </w:r>
          </w:p>
        </w:tc>
        <w:tc>
          <w:tcPr>
            <w:tcW w:w="2077" w:type="dxa"/>
            <w:tcBorders>
              <w:right w:val="single" w:color="auto" w:sz="4" w:space="0"/>
            </w:tcBorders>
          </w:tcPr>
          <w:p w14:paraId="0FB93C40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2474" w:type="dxa"/>
            <w:tcBorders>
              <w:left w:val="single" w:color="auto" w:sz="4" w:space="0"/>
            </w:tcBorders>
          </w:tcPr>
          <w:p w14:paraId="7182DB4E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683,6 х 34,13 = 23 331,2</w:t>
            </w:r>
          </w:p>
        </w:tc>
      </w:tr>
      <w:tr w14:paraId="77E9008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" w:type="dxa"/>
            <w:tcBorders>
              <w:right w:val="single" w:color="auto" w:sz="4" w:space="0"/>
            </w:tcBorders>
          </w:tcPr>
          <w:p w14:paraId="26A2A8A2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2024</w:t>
            </w:r>
          </w:p>
        </w:tc>
        <w:tc>
          <w:tcPr>
            <w:tcW w:w="1987" w:type="dxa"/>
            <w:tcBorders>
              <w:left w:val="single" w:color="auto" w:sz="4" w:space="0"/>
              <w:right w:val="single" w:color="auto" w:sz="4" w:space="0"/>
            </w:tcBorders>
          </w:tcPr>
          <w:p w14:paraId="7D59E70F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695,2</w:t>
            </w:r>
          </w:p>
        </w:tc>
        <w:tc>
          <w:tcPr>
            <w:tcW w:w="1789" w:type="dxa"/>
            <w:tcBorders>
              <w:right w:val="single" w:color="auto" w:sz="4" w:space="0"/>
            </w:tcBorders>
          </w:tcPr>
          <w:p w14:paraId="686978F2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39,59</w:t>
            </w:r>
          </w:p>
        </w:tc>
        <w:tc>
          <w:tcPr>
            <w:tcW w:w="2077" w:type="dxa"/>
            <w:tcBorders>
              <w:right w:val="single" w:color="auto" w:sz="4" w:space="0"/>
            </w:tcBorders>
          </w:tcPr>
          <w:p w14:paraId="6EEC727C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2474" w:type="dxa"/>
            <w:tcBorders>
              <w:left w:val="single" w:color="auto" w:sz="4" w:space="0"/>
            </w:tcBorders>
          </w:tcPr>
          <w:p w14:paraId="4CF11B21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  <w:lang w:eastAsia="en-US"/>
              </w:rPr>
              <w:t>695,2 х 39,59 = 27 522,9</w:t>
            </w:r>
          </w:p>
        </w:tc>
      </w:tr>
    </w:tbl>
    <w:p w14:paraId="6CE61B79">
      <w:pPr>
        <w:spacing w:after="0" w:line="240" w:lineRule="auto"/>
        <w:ind w:firstLine="709"/>
        <w:jc w:val="both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0C5C0F3B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eastAsia="en-US"/>
        </w:rPr>
      </w:pPr>
    </w:p>
    <w:p w14:paraId="51BD2EFF">
      <w:pPr>
        <w:pStyle w:val="16"/>
        <w:numPr>
          <w:ilvl w:val="0"/>
          <w:numId w:val="2"/>
        </w:numPr>
        <w:spacing w:after="0" w:line="240" w:lineRule="auto"/>
        <w:jc w:val="center"/>
        <w:outlineLvl w:val="0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Результаты и обсуждения</w:t>
      </w:r>
    </w:p>
    <w:p w14:paraId="310EE333">
      <w:pPr>
        <w:spacing w:line="240" w:lineRule="auto"/>
        <w:ind w:firstLine="709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Определение токсичности воды после биологической очистки локальной очистной станции «Топас» методом биотестирования, показало 100% всхожесть в обеих пробах, что говорит об отсутствии токсичности в очищенной сточной воде. </w:t>
      </w:r>
    </w:p>
    <w:p w14:paraId="6A7E0CB8">
      <w:pPr>
        <w:spacing w:line="240" w:lineRule="auto"/>
        <w:ind w:firstLine="709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На основе проведенных исследований, анализ по определению pH воды, очищенной с помощью ЛОС показал, что средняя величина pH воды, очищенной с помощью ЛОС = 7,27 pH при норме 5,0-8,5. Кислотность воды можно объяснить большим количеством органических веществ, выделяемых микроорганизмами в процессе жизнедеятельности, такая кислотность необходима в образовании активного ила. </w:t>
      </w:r>
    </w:p>
    <w:p w14:paraId="4DA22870">
      <w:pPr>
        <w:spacing w:line="240" w:lineRule="auto"/>
        <w:ind w:firstLine="709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Анализ на определение мутности очищенной воды показал, что средняя единица мутности очищенных стоков – 54.7 NTU, что соответствует требованиям к очищенным бытовым сточным водам. Мутность водопроводной и грязной воды составила 46,9 и 136,6 NTU соответственно. При определении количества взвешенных частиц в очищенной сточной воде и в аэротенке при помощи счетчика ТС20 получили следующие данные: аэротенк – 1,55х10⁵ мл и отстойник очищенной сточной воды – 3,81х10⁴ мл.  </w:t>
      </w:r>
    </w:p>
    <w:p w14:paraId="3A262BA6">
      <w:pPr>
        <w:spacing w:line="240" w:lineRule="auto"/>
        <w:ind w:firstLine="709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Атомно-эмиссионный спектрометрический анализ воды показал содержание следующих элементов: алюминий, железо, марганец, олово. При сравнении количества обнаруженных элементов с предельно-допустимыми показателями установлено, что очищенные стоки соответствуют нормам ПДК. </w:t>
      </w:r>
    </w:p>
    <w:p w14:paraId="498DB5CC">
      <w:pPr>
        <w:spacing w:line="240" w:lineRule="auto"/>
        <w:contextualSpacing/>
        <w:jc w:val="righ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Таблица 3.</w:t>
      </w:r>
    </w:p>
    <w:p w14:paraId="77657E85">
      <w:pPr>
        <w:spacing w:line="240" w:lineRule="auto"/>
        <w:contextualSpacing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Сравнительный анализ содержания металлов в очищенных стоках с ПДК.</w:t>
      </w:r>
    </w:p>
    <w:tbl>
      <w:tblPr>
        <w:tblStyle w:val="5"/>
        <w:tblpPr w:leftFromText="180" w:rightFromText="180" w:vertAnchor="text" w:horzAnchor="page" w:tblpXSpec="center" w:tblpY="8"/>
        <w:tblW w:w="7989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663"/>
        <w:gridCol w:w="2663"/>
        <w:gridCol w:w="2663"/>
      </w:tblGrid>
      <w:tr w14:paraId="161043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8" w:hRule="atLeast"/>
        </w:trPr>
        <w:tc>
          <w:tcPr>
            <w:tcW w:w="26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A8DEF17">
            <w:pPr>
              <w:spacing w:line="240" w:lineRule="auto"/>
              <w:contextualSpacing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Элементы</w:t>
            </w:r>
          </w:p>
        </w:tc>
        <w:tc>
          <w:tcPr>
            <w:tcW w:w="26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572CD93">
            <w:pPr>
              <w:spacing w:line="240" w:lineRule="auto"/>
              <w:contextualSpacing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Содержание в очищенных сточных водах (мг\л)</w:t>
            </w:r>
          </w:p>
        </w:tc>
        <w:tc>
          <w:tcPr>
            <w:tcW w:w="26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6B55FDC">
            <w:pPr>
              <w:spacing w:line="240" w:lineRule="auto"/>
              <w:contextualSpacing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Нормы ПДК (мг/л)</w:t>
            </w:r>
          </w:p>
        </w:tc>
      </w:tr>
      <w:tr w14:paraId="56523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" w:hRule="atLeast"/>
        </w:trPr>
        <w:tc>
          <w:tcPr>
            <w:tcW w:w="26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2561BBA">
            <w:pPr>
              <w:spacing w:line="240" w:lineRule="auto"/>
              <w:contextualSpacing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Al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(алюминий)</w:t>
            </w:r>
          </w:p>
        </w:tc>
        <w:tc>
          <w:tcPr>
            <w:tcW w:w="26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0BD7110">
            <w:pPr>
              <w:spacing w:line="240" w:lineRule="auto"/>
              <w:contextualSpacing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0,128</w:t>
            </w:r>
          </w:p>
        </w:tc>
        <w:tc>
          <w:tcPr>
            <w:tcW w:w="26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1E361B2">
            <w:pPr>
              <w:spacing w:line="240" w:lineRule="auto"/>
              <w:contextualSpacing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14:paraId="6B2946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" w:hRule="atLeast"/>
        </w:trPr>
        <w:tc>
          <w:tcPr>
            <w:tcW w:w="26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827B968">
            <w:pPr>
              <w:spacing w:line="240" w:lineRule="auto"/>
              <w:contextualSpacing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Fe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(железо)</w:t>
            </w:r>
          </w:p>
        </w:tc>
        <w:tc>
          <w:tcPr>
            <w:tcW w:w="26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F42606C">
            <w:pPr>
              <w:spacing w:line="240" w:lineRule="auto"/>
              <w:contextualSpacing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0,099</w:t>
            </w:r>
          </w:p>
        </w:tc>
        <w:tc>
          <w:tcPr>
            <w:tcW w:w="26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1DD5EEE">
            <w:pPr>
              <w:spacing w:line="240" w:lineRule="auto"/>
              <w:contextualSpacing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0,3</w:t>
            </w:r>
          </w:p>
        </w:tc>
      </w:tr>
      <w:tr w14:paraId="4E89CE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" w:hRule="atLeast"/>
        </w:trPr>
        <w:tc>
          <w:tcPr>
            <w:tcW w:w="26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A7E5BEE">
            <w:pPr>
              <w:spacing w:line="240" w:lineRule="auto"/>
              <w:contextualSpacing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Mn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(марганец)</w:t>
            </w:r>
          </w:p>
        </w:tc>
        <w:tc>
          <w:tcPr>
            <w:tcW w:w="26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70FB322">
            <w:pPr>
              <w:spacing w:line="240" w:lineRule="auto"/>
              <w:contextualSpacing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0,151</w:t>
            </w:r>
          </w:p>
        </w:tc>
        <w:tc>
          <w:tcPr>
            <w:tcW w:w="26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19BD851">
            <w:pPr>
              <w:spacing w:line="240" w:lineRule="auto"/>
              <w:contextualSpacing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0,1</w:t>
            </w:r>
          </w:p>
        </w:tc>
      </w:tr>
      <w:tr w14:paraId="0F5341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" w:hRule="atLeast"/>
        </w:trPr>
        <w:tc>
          <w:tcPr>
            <w:tcW w:w="26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F210D5F">
            <w:pPr>
              <w:spacing w:line="240" w:lineRule="auto"/>
              <w:contextualSpacing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Zn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(олово)</w:t>
            </w:r>
          </w:p>
        </w:tc>
        <w:tc>
          <w:tcPr>
            <w:tcW w:w="26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CCCC84C">
            <w:pPr>
              <w:spacing w:line="240" w:lineRule="auto"/>
              <w:contextualSpacing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0,268</w:t>
            </w:r>
          </w:p>
        </w:tc>
        <w:tc>
          <w:tcPr>
            <w:tcW w:w="26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F6E99EE">
            <w:pPr>
              <w:spacing w:line="240" w:lineRule="auto"/>
              <w:contextualSpacing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5.0</w:t>
            </w:r>
          </w:p>
        </w:tc>
      </w:tr>
    </w:tbl>
    <w:p w14:paraId="7CB8CA59">
      <w:pPr>
        <w:spacing w:line="240" w:lineRule="auto"/>
        <w:ind w:firstLine="709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004733B">
      <w:pPr>
        <w:spacing w:after="0" w:line="240" w:lineRule="auto"/>
        <w:ind w:firstLine="709"/>
        <w:jc w:val="both"/>
        <w:rPr>
          <w:rFonts w:hint="default"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Cs/>
          <w:sz w:val="28"/>
          <w:szCs w:val="28"/>
        </w:rPr>
        <w:t xml:space="preserve">Анализ на определение патогенных микроорганизмов в очищенных сточных водах показал отсутствие представителей транзиторной и патогенной микрофлорой, дрожжевых грибов. Количественный анализ нормофлоры показал превышение по стрептококкам-3.7(&lt;0,1%) и энтерококкам-1.5(3-4%). Но так как стрептококки и энтерококки являются </w:t>
      </w:r>
      <w:r>
        <w:rPr>
          <w:rFonts w:hint="default"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  <w:t>грамположительными аэробными организмами, структура бактериального микробиома соответствует норме условно-патогенной микрофлоре.</w:t>
      </w:r>
    </w:p>
    <w:p w14:paraId="51A2C1EE">
      <w:pPr>
        <w:spacing w:after="0" w:line="240" w:lineRule="auto"/>
        <w:ind w:firstLine="709"/>
        <w:jc w:val="both"/>
        <w:rPr>
          <w:rFonts w:hint="default"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bCs/>
          <w:sz w:val="28"/>
          <w:szCs w:val="28"/>
          <w:shd w:val="clear" w:color="auto" w:fill="FFFFFF"/>
        </w:rPr>
        <w:t xml:space="preserve">Показано, что наличие локальной очистной станции на территории РЭБЦ значительно экономит денежные средства. Стоимость на водоотведение в год в сравнении с локальной очистной станцией в динамике за три года: в 2022 году центр заплатил бы за водоотведение более 20 000 рублей; в 2023 – </w:t>
      </w:r>
      <w:r>
        <w:rPr>
          <w:rFonts w:hint="default" w:ascii="Times New Roman" w:hAnsi="Times New Roman" w:eastAsia="Calibri" w:cs="Times New Roman"/>
          <w:sz w:val="28"/>
          <w:szCs w:val="28"/>
          <w:lang w:eastAsia="en-US"/>
        </w:rPr>
        <w:t xml:space="preserve">23 331,2 </w:t>
      </w:r>
      <w:r>
        <w:rPr>
          <w:rFonts w:hint="default" w:ascii="Times New Roman" w:hAnsi="Times New Roman" w:cs="Times New Roman"/>
          <w:bCs/>
          <w:sz w:val="28"/>
          <w:szCs w:val="28"/>
          <w:shd w:val="clear" w:color="auto" w:fill="FFFFFF"/>
        </w:rPr>
        <w:t xml:space="preserve">рубля и в 2024 году – 27 522,9 рублей.   </w:t>
      </w:r>
    </w:p>
    <w:p w14:paraId="188584B5">
      <w:pPr>
        <w:spacing w:line="240" w:lineRule="auto"/>
        <w:ind w:firstLine="709"/>
        <w:contextualSpacing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Таким образом, показано, что сточная вода, очищенная с помощью локального очистного сооружения, соответствует нормам, которые предъявляются очищенным бытовым сточным водам (СанПиН. Вода, 2004).</w:t>
      </w:r>
      <w:r>
        <w:rPr>
          <w:rFonts w:hint="default" w:ascii="Times New Roman" w:hAnsi="Times New Roman" w:eastAsia="Calibri" w:cs="Times New Roman"/>
          <w:sz w:val="28"/>
          <w:szCs w:val="28"/>
          <w:lang w:eastAsia="en-US"/>
        </w:rPr>
        <w:t xml:space="preserve">  </w:t>
      </w:r>
    </w:p>
    <w:p w14:paraId="35DFA08D">
      <w:pPr>
        <w:pStyle w:val="16"/>
        <w:spacing w:line="240" w:lineRule="auto"/>
        <w:ind w:left="360"/>
        <w:jc w:val="center"/>
        <w:outlineLvl w:val="0"/>
        <w:rPr>
          <w:rFonts w:hint="default" w:ascii="Times New Roman" w:hAnsi="Times New Roman" w:eastAsia="Calibri" w:cs="Times New Roman"/>
          <w:b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sz w:val="28"/>
          <w:szCs w:val="28"/>
        </w:rPr>
        <w:t>Выводы.</w:t>
      </w:r>
    </w:p>
    <w:p w14:paraId="25712FF1">
      <w:pPr>
        <w:pStyle w:val="16"/>
        <w:numPr>
          <w:ilvl w:val="0"/>
          <w:numId w:val="3"/>
        </w:numPr>
        <w:spacing w:line="240" w:lineRule="auto"/>
        <w:ind w:left="284" w:hanging="284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Изучена система очистных сооружений биологической очистки воды, работы аэротенок.</w:t>
      </w:r>
    </w:p>
    <w:p w14:paraId="77D2A344">
      <w:pPr>
        <w:pStyle w:val="16"/>
        <w:numPr>
          <w:ilvl w:val="0"/>
          <w:numId w:val="3"/>
        </w:numPr>
        <w:spacing w:line="240" w:lineRule="auto"/>
        <w:ind w:left="284" w:hanging="284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Проведенные исследования позволили установить соответствие нормам качества бытовых стоков, очищенных с помощью локальной системы.</w:t>
      </w:r>
    </w:p>
    <w:p w14:paraId="5A2D1592">
      <w:pPr>
        <w:pStyle w:val="16"/>
        <w:numPr>
          <w:ilvl w:val="0"/>
          <w:numId w:val="3"/>
        </w:numPr>
        <w:spacing w:after="0" w:line="240" w:lineRule="auto"/>
        <w:ind w:left="284" w:hanging="284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Показана эффективность применения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системы локальной очистки бытовых сточных вод на территории эколого-биологического центра учащихся Республики Бурятия.</w:t>
      </w:r>
    </w:p>
    <w:p w14:paraId="7AC27639">
      <w:pPr>
        <w:pStyle w:val="2"/>
        <w:spacing w:line="240" w:lineRule="auto"/>
        <w:jc w:val="center"/>
        <w:rPr>
          <w:rFonts w:hint="default" w:ascii="Times New Roman" w:hAnsi="Times New Roman" w:eastAsia="Calibri" w:cs="Times New Roman"/>
          <w:b w:val="0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Заключение</w:t>
      </w:r>
    </w:p>
    <w:p w14:paraId="548FFA82">
      <w:pPr>
        <w:spacing w:line="240" w:lineRule="auto"/>
        <w:ind w:firstLine="709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Обоснована целесообразность внедрения системы локальной очистки бытовых сточных вод на территории Ресурсного эколого-биологического центра Республики Бурятия, учитывая высокую экологическую значимость региона и необходимость минимизации антропогенного воздействия. Представлены результаты мониторинга качества очищенной воды локальной очистной станции, показывающие соответствие нормативным требованиям по основным показателям. Показана позитивная динамика в улучшении экологической обстановки на прилегающей территории эколого-биологического центра, снижение нагрузки на централизованную канализационную сеть и возможность повторного использования очищенной воды для технических нужд, таких как полив зеленых насаждений, что способствует экономии водных ресурсов.</w:t>
      </w:r>
    </w:p>
    <w:p w14:paraId="3ABEA6F5">
      <w:pPr>
        <w:spacing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</w:p>
    <w:p w14:paraId="0AD36059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2C133AE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9B4E3C5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1F638DD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DF58023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47A8912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A3E01EA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9D6E8B4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0FA2FD4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6AA8049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A65B553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0C041C1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625646A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9A21AF5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0ED5184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82E4B8A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9B8A583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8BEF4D8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C14EDC7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5DB78D3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C1392C8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3214217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CFFB6A1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F7FDD2A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84730E0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36CD371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13233B6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54E943D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92AC6EF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162B7D6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32421A4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A910F94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BC5E548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21D78C9">
      <w:pPr>
        <w:pStyle w:val="2"/>
        <w:spacing w:line="240" w:lineRule="auto"/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Список использованной литературы</w:t>
      </w:r>
    </w:p>
    <w:p w14:paraId="5EDD2A55">
      <w:pPr>
        <w:numPr>
          <w:ilvl w:val="0"/>
          <w:numId w:val="4"/>
        </w:numPr>
        <w:spacing w:line="240" w:lineRule="auto"/>
        <w:ind w:left="0" w:firstLine="709"/>
        <w:contextualSpacing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ГОСТ 25298–82 «Установки компактные для очистки бытовых сточных вод. Типы параметры и размеры»</w:t>
      </w:r>
    </w:p>
    <w:p w14:paraId="22202C68">
      <w:pPr>
        <w:numPr>
          <w:ilvl w:val="0"/>
          <w:numId w:val="4"/>
        </w:numPr>
        <w:spacing w:line="240" w:lineRule="auto"/>
        <w:ind w:left="0" w:firstLine="709"/>
        <w:contextualSpacing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ГОСТ Р 53118.14.1–2006 «Совместимость технических средств электромагнитная. Бытовые приборы, электрические инструменты и аналогичные устройства. Радиопомехи индустриальные. Нормы и методы измерений»</w:t>
      </w:r>
    </w:p>
    <w:p w14:paraId="48052142">
      <w:pPr>
        <w:numPr>
          <w:ilvl w:val="0"/>
          <w:numId w:val="4"/>
        </w:numPr>
        <w:spacing w:line="240" w:lineRule="auto"/>
        <w:ind w:left="0" w:firstLine="709"/>
        <w:contextualSpacing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ГОСТ Р МЭК 60204-1-2007. «Безопасность машин. Электрооборудование машин и механизмов. Часть 1. Общие требования.»</w:t>
      </w:r>
    </w:p>
    <w:p w14:paraId="46F39CEC">
      <w:pPr>
        <w:numPr>
          <w:ilvl w:val="0"/>
          <w:numId w:val="4"/>
        </w:numPr>
        <w:spacing w:line="240" w:lineRule="auto"/>
        <w:ind w:left="0" w:firstLine="709"/>
        <w:contextualSpacing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Роговская Ц. И. // Водные ресурсы, 1975, № 3, с.164-176.</w:t>
      </w:r>
    </w:p>
    <w:p w14:paraId="526493D5">
      <w:pPr>
        <w:numPr>
          <w:ilvl w:val="0"/>
          <w:numId w:val="4"/>
        </w:numPr>
        <w:spacing w:line="240" w:lineRule="auto"/>
        <w:ind w:left="0" w:firstLine="709"/>
        <w:contextualSpacing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Родионов А. И. Технологические процессы экологической безопасности. Ученик для ВУЗов. – Калуга: Издательство Н. Бочкаревой, 2000. – 800с.</w:t>
      </w:r>
    </w:p>
    <w:p w14:paraId="328F6B7B">
      <w:pPr>
        <w:numPr>
          <w:ilvl w:val="0"/>
          <w:numId w:val="4"/>
        </w:numPr>
        <w:spacing w:line="240" w:lineRule="auto"/>
        <w:ind w:left="0" w:firstLine="709"/>
        <w:contextualSpacing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СанПиН. Вода. 2004.</w:t>
      </w:r>
    </w:p>
    <w:p w14:paraId="415D9456">
      <w:pPr>
        <w:numPr>
          <w:ilvl w:val="0"/>
          <w:numId w:val="4"/>
        </w:numPr>
        <w:spacing w:line="240" w:lineRule="auto"/>
        <w:ind w:left="0" w:firstLine="709"/>
        <w:contextualSpacing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Технический паспорт на установку очистки сточных вод «Топас».</w:t>
      </w:r>
    </w:p>
    <w:p w14:paraId="1ED5D598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Федеральный закон от 7 декабря 2011 г. № 416-ФЗ «О водоснабжении и водоотведении»</w:t>
      </w:r>
    </w:p>
    <w:p w14:paraId="75FB106C">
      <w:pPr>
        <w:pStyle w:val="16"/>
        <w:numPr>
          <w:ilvl w:val="0"/>
          <w:numId w:val="4"/>
        </w:numPr>
        <w:spacing w:after="0" w:line="240" w:lineRule="auto"/>
        <w:ind w:left="0"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Родионов А.И. Технологические процессы экологической безопасности. Ученик для ВУЗов. – Калуга: Издательство Н. Бочкаревой, 2000. – 800с</w:t>
      </w:r>
    </w:p>
    <w:p w14:paraId="48E32610">
      <w:pPr>
        <w:pStyle w:val="16"/>
        <w:numPr>
          <w:ilvl w:val="0"/>
          <w:numId w:val="4"/>
        </w:numPr>
        <w:spacing w:after="0" w:line="240" w:lineRule="auto"/>
        <w:ind w:left="0"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Яковлев С.В., Ю.В. Воронов. Водоотведение и очистка сточных вод. Издательство Ассоциации строительных вузов, М. 2002.</w:t>
      </w:r>
    </w:p>
    <w:p w14:paraId="46DFD6BB">
      <w:pPr>
        <w:numPr>
          <w:ilvl w:val="0"/>
          <w:numId w:val="4"/>
        </w:numPr>
        <w:spacing w:line="240" w:lineRule="auto"/>
        <w:ind w:left="0" w:firstLine="709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Технический паспорт на установку очистки сточных вод «Топас».</w:t>
      </w:r>
    </w:p>
    <w:p w14:paraId="537A6B0F">
      <w:pPr>
        <w:numPr>
          <w:ilvl w:val="0"/>
          <w:numId w:val="4"/>
        </w:numPr>
        <w:spacing w:before="4581" w:after="0" w:line="240" w:lineRule="auto"/>
        <w:ind w:left="0" w:firstLine="709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Теоретические и технологические основы воспроизводства плодородия почв и урожайность сельскохозяйственных культур. Материалы Международной научно-практической конференции. М: РГАУ-МСХА имени К.А. Тимирязева, 2012.</w:t>
      </w:r>
    </w:p>
    <w:p w14:paraId="55E45EBB">
      <w:pPr>
        <w:numPr>
          <w:ilvl w:val="0"/>
          <w:numId w:val="4"/>
        </w:numPr>
        <w:spacing w:line="240" w:lineRule="auto"/>
        <w:ind w:left="0" w:firstLine="709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Группа Компаний «ТОПОЛ-ЭКО»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(официальный сайт)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"http://www.topol-eco.ru/"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Style w:val="7"/>
          <w:rFonts w:hint="default" w:ascii="Times New Roman" w:hAnsi="Times New Roman" w:cs="Times New Roman"/>
          <w:sz w:val="28"/>
          <w:szCs w:val="28"/>
          <w:lang w:val="en-US"/>
        </w:rPr>
        <w:t>http</w:t>
      </w:r>
      <w:r>
        <w:rPr>
          <w:rStyle w:val="7"/>
          <w:rFonts w:hint="default" w:ascii="Times New Roman" w:hAnsi="Times New Roman" w:cs="Times New Roman"/>
          <w:sz w:val="28"/>
          <w:szCs w:val="28"/>
        </w:rPr>
        <w:t>://</w:t>
      </w:r>
      <w:r>
        <w:rPr>
          <w:rStyle w:val="7"/>
          <w:rFonts w:hint="default" w:ascii="Times New Roman" w:hAnsi="Times New Roman" w:cs="Times New Roman"/>
          <w:sz w:val="28"/>
          <w:szCs w:val="28"/>
          <w:lang w:val="en-US"/>
        </w:rPr>
        <w:t>www</w:t>
      </w:r>
      <w:r>
        <w:rPr>
          <w:rStyle w:val="7"/>
          <w:rFonts w:hint="default" w:ascii="Times New Roman" w:hAnsi="Times New Roman" w:cs="Times New Roman"/>
          <w:sz w:val="28"/>
          <w:szCs w:val="28"/>
        </w:rPr>
        <w:t>.</w:t>
      </w:r>
      <w:r>
        <w:rPr>
          <w:rStyle w:val="7"/>
          <w:rFonts w:hint="default" w:ascii="Times New Roman" w:hAnsi="Times New Roman" w:cs="Times New Roman"/>
          <w:sz w:val="28"/>
          <w:szCs w:val="28"/>
          <w:lang w:val="en-US"/>
        </w:rPr>
        <w:t>topol</w:t>
      </w:r>
      <w:r>
        <w:rPr>
          <w:rStyle w:val="7"/>
          <w:rFonts w:hint="default" w:ascii="Times New Roman" w:hAnsi="Times New Roman" w:cs="Times New Roman"/>
          <w:sz w:val="28"/>
          <w:szCs w:val="28"/>
        </w:rPr>
        <w:t>-</w:t>
      </w:r>
      <w:r>
        <w:rPr>
          <w:rStyle w:val="7"/>
          <w:rFonts w:hint="default" w:ascii="Times New Roman" w:hAnsi="Times New Roman" w:cs="Times New Roman"/>
          <w:sz w:val="28"/>
          <w:szCs w:val="28"/>
          <w:lang w:val="en-US"/>
        </w:rPr>
        <w:t>eco</w:t>
      </w:r>
      <w:r>
        <w:rPr>
          <w:rStyle w:val="7"/>
          <w:rFonts w:hint="default" w:ascii="Times New Roman" w:hAnsi="Times New Roman" w:cs="Times New Roman"/>
          <w:sz w:val="28"/>
          <w:szCs w:val="28"/>
        </w:rPr>
        <w:t>.</w:t>
      </w:r>
      <w:r>
        <w:rPr>
          <w:rStyle w:val="7"/>
          <w:rFonts w:hint="default" w:ascii="Times New Roman" w:hAnsi="Times New Roman" w:cs="Times New Roman"/>
          <w:sz w:val="28"/>
          <w:szCs w:val="28"/>
          <w:lang w:val="en-US"/>
        </w:rPr>
        <w:t>ru</w:t>
      </w:r>
      <w:r>
        <w:rPr>
          <w:rStyle w:val="7"/>
          <w:rFonts w:hint="default" w:ascii="Times New Roman" w:hAnsi="Times New Roman" w:cs="Times New Roman"/>
          <w:sz w:val="28"/>
          <w:szCs w:val="28"/>
        </w:rPr>
        <w:t>/</w:t>
      </w:r>
      <w:r>
        <w:rPr>
          <w:rStyle w:val="7"/>
          <w:rFonts w:hint="default" w:ascii="Times New Roman" w:hAnsi="Times New Roman" w:cs="Times New Roman"/>
          <w:sz w:val="28"/>
          <w:szCs w:val="28"/>
        </w:rPr>
        <w:fldChar w:fldCharType="end"/>
      </w:r>
    </w:p>
    <w:p w14:paraId="1831AE03">
      <w:pPr>
        <w:numPr>
          <w:ilvl w:val="0"/>
          <w:numId w:val="4"/>
        </w:numPr>
        <w:spacing w:line="240" w:lineRule="auto"/>
        <w:ind w:hanging="11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АО «Мосводоканал» - российская водная компания (официальный сайт) 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"http://www.mosvodokanal.ru/"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Style w:val="7"/>
          <w:rFonts w:hint="default" w:ascii="Times New Roman" w:hAnsi="Times New Roman" w:cs="Times New Roman"/>
          <w:sz w:val="28"/>
          <w:szCs w:val="28"/>
        </w:rPr>
        <w:t>http://www.mosvodokanal.ru/</w:t>
      </w:r>
      <w:r>
        <w:rPr>
          <w:rStyle w:val="7"/>
          <w:rFonts w:hint="default" w:ascii="Times New Roman" w:hAnsi="Times New Roman" w:cs="Times New Roman"/>
          <w:sz w:val="28"/>
          <w:szCs w:val="28"/>
        </w:rPr>
        <w:fldChar w:fldCharType="end"/>
      </w:r>
    </w:p>
    <w:p w14:paraId="79EA81A2">
      <w:pPr>
        <w:spacing w:line="240" w:lineRule="auto"/>
        <w:ind w:firstLine="709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669090F">
      <w:pPr>
        <w:spacing w:line="240" w:lineRule="auto"/>
        <w:ind w:left="720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F1C6663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B389593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97C9C3A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F841706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1AF548E4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78DFA55D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7D5F593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14:paraId="6B79DB3B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6D8CAC5D">
      <w:pPr>
        <w:pStyle w:val="2"/>
        <w:spacing w:line="240" w:lineRule="auto"/>
        <w:jc w:val="righ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Приложение 1</w:t>
      </w:r>
    </w:p>
    <w:p w14:paraId="378AD16F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6C1C489E">
      <w:pPr>
        <w:spacing w:after="100" w:afterAutospacing="1" w:line="240" w:lineRule="auto"/>
        <w:ind w:firstLine="532"/>
        <w:contextualSpacing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Станция локальной очистки стоков «ТОПАС» в Государственном бюджетном учреждении дополнительного образования</w:t>
      </w:r>
    </w:p>
    <w:p w14:paraId="6435CB61">
      <w:pPr>
        <w:spacing w:after="100" w:afterAutospacing="1" w:line="240" w:lineRule="auto"/>
        <w:ind w:firstLine="532"/>
        <w:contextualSpacing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«Ресурсный эколого-биологический центр Республики Бурятия»</w:t>
      </w:r>
    </w:p>
    <w:p w14:paraId="20F1D9C5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drawing>
          <wp:inline distT="0" distB="0" distL="0" distR="0">
            <wp:extent cx="4438650" cy="2961005"/>
            <wp:effectExtent l="19050" t="0" r="0" b="0"/>
            <wp:docPr id="3" name="Рисунок 3" descr="defaul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default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36514" cy="2960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D95A7D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6634E61F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1A712544">
      <w:pPr>
        <w:spacing w:after="100" w:afterAutospacing="1" w:line="240" w:lineRule="auto"/>
        <w:ind w:firstLine="532"/>
        <w:contextualSpacing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Схема очистки бытовых сточных вод.</w:t>
      </w:r>
    </w:p>
    <w:p w14:paraId="72BB6A74">
      <w:pPr>
        <w:spacing w:after="0" w:line="240" w:lineRule="auto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</w:p>
    <w:p w14:paraId="6AAC9653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drawing>
          <wp:inline distT="0" distB="0" distL="0" distR="0">
            <wp:extent cx="5012055" cy="2406650"/>
            <wp:effectExtent l="19050" t="0" r="0" b="0"/>
            <wp:docPr id="2" name="Рисунок 2" descr="9 лос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9 лос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12055" cy="240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E3CA17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74BE7262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652D0AEF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04826C4B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9D341B7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F2DA044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74379C49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01C49AB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Приложение 2</w:t>
      </w:r>
    </w:p>
    <w:p w14:paraId="192060A0">
      <w:pPr>
        <w:spacing w:after="0" w:line="240" w:lineRule="auto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  <w:r>
        <w:rPr>
          <w:rFonts w:hint="default" w:ascii="Times New Roman" w:hAnsi="Times New Roman" w:cs="Times New Roman"/>
          <w:bCs/>
          <w:sz w:val="28"/>
          <w:szCs w:val="28"/>
        </w:rPr>
        <w:t>Закладка опыта «Определение токсичности воды после биологической очистки путем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Cs/>
          <w:sz w:val="28"/>
          <w:szCs w:val="28"/>
        </w:rPr>
        <w:t xml:space="preserve">проращивания семян редиса при поливе очищенной водой в сравнении с поливом водопроводной водой (контроль)» </w:t>
      </w:r>
    </w:p>
    <w:p w14:paraId="76B89D23">
      <w:pPr>
        <w:spacing w:after="0" w:line="240" w:lineRule="auto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</w:p>
    <w:p w14:paraId="0D070A09">
      <w:pPr>
        <w:spacing w:after="0" w:line="240" w:lineRule="auto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2703195</wp:posOffset>
            </wp:positionH>
            <wp:positionV relativeFrom="margin">
              <wp:posOffset>2105025</wp:posOffset>
            </wp:positionV>
            <wp:extent cx="3638550" cy="2730500"/>
            <wp:effectExtent l="0" t="457200" r="0" b="431800"/>
            <wp:wrapSquare wrapText="bothSides"/>
            <wp:docPr id="25" name="Рисунок 9" descr="C:\Users\Админ\AppData\Local\Microsoft\Windows\Temporary Internet Files\Content.Word\DSCN37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9" descr="C:\Users\Админ\AppData\Local\Microsoft\Windows\Temporary Internet Files\Content.Word\DSCN379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638550" cy="273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-551815</wp:posOffset>
            </wp:positionH>
            <wp:positionV relativeFrom="margin">
              <wp:posOffset>2139315</wp:posOffset>
            </wp:positionV>
            <wp:extent cx="3629025" cy="2724150"/>
            <wp:effectExtent l="0" t="457200" r="0" b="438150"/>
            <wp:wrapSquare wrapText="bothSides"/>
            <wp:docPr id="22" name="Рисунок 1" descr="C:\Users\Админ\AppData\Local\Microsoft\Windows\Temporary Internet Files\Content.Word\DSCN3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1" descr="C:\Users\Админ\AppData\Local\Microsoft\Windows\Temporary Internet Files\Content.Word\DSCN373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629025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7915C6A">
      <w:pPr>
        <w:spacing w:after="0" w:line="240" w:lineRule="auto"/>
        <w:jc w:val="righ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</w:t>
      </w:r>
    </w:p>
    <w:p w14:paraId="1967A1CE">
      <w:pPr>
        <w:spacing w:after="0" w:line="240" w:lineRule="auto"/>
        <w:jc w:val="right"/>
        <w:rPr>
          <w:rFonts w:hint="default" w:ascii="Times New Roman" w:hAnsi="Times New Roman" w:cs="Times New Roman"/>
          <w:sz w:val="28"/>
          <w:szCs w:val="28"/>
        </w:rPr>
      </w:pPr>
    </w:p>
    <w:p w14:paraId="632DDF76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487B9BD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179EC065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423E27ED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6F3287D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79507E52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014B51D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47462A9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91D204F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6ECBAE35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7567360C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21A4BE4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77F93E68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04E4B7F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3311812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609D5742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7BAC612A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7942399F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E7EE1F7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6CFDFE88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CE5468A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428486E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7FFAC6E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82D6C87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E7B58B2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6AEA8185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860043E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E3D6FF3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AC17291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Приложение 3</w:t>
      </w:r>
    </w:p>
    <w:p w14:paraId="119586C2">
      <w:pPr>
        <w:spacing w:after="0" w:line="240" w:lineRule="auto"/>
        <w:ind w:firstLine="709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Определение токсичности воды после биологической очистки путем проращивания семян редиса при поливе очищенной водой в сравнении с поливом водопроводной водой (контроль).</w:t>
      </w:r>
    </w:p>
    <w:tbl>
      <w:tblPr>
        <w:tblStyle w:val="15"/>
        <w:tblW w:w="9444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2"/>
        <w:gridCol w:w="1313"/>
        <w:gridCol w:w="1313"/>
        <w:gridCol w:w="1313"/>
        <w:gridCol w:w="1313"/>
        <w:gridCol w:w="1313"/>
        <w:gridCol w:w="1313"/>
      </w:tblGrid>
      <w:tr w14:paraId="584F8FC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6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</w:tcPr>
          <w:p w14:paraId="5CE5D221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Дни</w:t>
            </w:r>
          </w:p>
          <w:p w14:paraId="31D4FD25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8135B0F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5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BB74D63">
            <w:pPr>
              <w:spacing w:after="0" w:line="240" w:lineRule="auto"/>
              <w:ind w:right="179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Проба №1</w:t>
            </w:r>
          </w:p>
          <w:p w14:paraId="7F1E1F8B">
            <w:pPr>
              <w:spacing w:after="0" w:line="240" w:lineRule="auto"/>
              <w:ind w:right="179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Вода из крана</w:t>
            </w:r>
          </w:p>
        </w:tc>
        <w:tc>
          <w:tcPr>
            <w:tcW w:w="4013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E9B2817">
            <w:pPr>
              <w:spacing w:after="0" w:line="240" w:lineRule="auto"/>
              <w:ind w:right="179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Проба №2</w:t>
            </w:r>
          </w:p>
          <w:p w14:paraId="1EAF27D4">
            <w:pPr>
              <w:spacing w:after="0" w:line="240" w:lineRule="auto"/>
              <w:ind w:right="179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Вода из ЛОС «Топас»</w:t>
            </w:r>
          </w:p>
        </w:tc>
      </w:tr>
      <w:tr w14:paraId="0638B5F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left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2A83B8B4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88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56E02B2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Количество проростков из 10 семян, шт.</w:t>
            </w:r>
          </w:p>
        </w:tc>
      </w:tr>
      <w:tr w14:paraId="6E890BB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498D73EE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4" w:space="0"/>
              <w:right w:val="single" w:color="auto" w:sz="4" w:space="0"/>
            </w:tcBorders>
          </w:tcPr>
          <w:p w14:paraId="72FF023C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 повтор-ть</w:t>
            </w:r>
          </w:p>
        </w:tc>
        <w:tc>
          <w:tcPr>
            <w:tcW w:w="1286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40961747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2 повтор-ть</w:t>
            </w:r>
          </w:p>
        </w:tc>
        <w:tc>
          <w:tcPr>
            <w:tcW w:w="1283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0AD7A8AB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3 повтор-ть</w:t>
            </w:r>
          </w:p>
        </w:tc>
        <w:tc>
          <w:tcPr>
            <w:tcW w:w="1324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1FDC2F23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1 </w:t>
            </w:r>
          </w:p>
          <w:p w14:paraId="331405E5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повтор-ть</w:t>
            </w:r>
          </w:p>
        </w:tc>
        <w:tc>
          <w:tcPr>
            <w:tcW w:w="1387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ACF1098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2 </w:t>
            </w:r>
          </w:p>
          <w:p w14:paraId="6EBB2139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повтор-ть</w:t>
            </w:r>
          </w:p>
        </w:tc>
        <w:tc>
          <w:tcPr>
            <w:tcW w:w="1302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F4DCC55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3 </w:t>
            </w:r>
          </w:p>
          <w:p w14:paraId="08E8D1AE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повтор-ть</w:t>
            </w:r>
          </w:p>
        </w:tc>
      </w:tr>
      <w:tr w14:paraId="75C226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6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88D1F24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06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</w:tcPr>
          <w:p w14:paraId="6F21DDF3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86" w:type="dxa"/>
            <w:tcBorders>
              <w:top w:val="single" w:color="auto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0646E5F">
            <w:pPr>
              <w:spacing w:after="0" w:line="240" w:lineRule="auto"/>
              <w:ind w:left="-302" w:right="179" w:firstLine="302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4A909DBD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324" w:type="dxa"/>
            <w:tcBorders>
              <w:top w:val="single" w:color="auto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025890D6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766D92DE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26CD6F11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-</w:t>
            </w:r>
          </w:p>
        </w:tc>
      </w:tr>
      <w:tr w14:paraId="367764D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02F4C06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</w:tcPr>
          <w:p w14:paraId="454EEFDA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86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23E19CF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83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1C7065F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2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</w:tcPr>
          <w:p w14:paraId="3597B504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87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5FA29828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02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2B586953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3</w:t>
            </w:r>
          </w:p>
        </w:tc>
      </w:tr>
      <w:tr w14:paraId="1CD5168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5E80607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</w:tcPr>
          <w:p w14:paraId="1A0C0079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86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5A7F2397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83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51E65D3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2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</w:tcPr>
          <w:p w14:paraId="67C1D2A1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87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01350CDF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02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529529D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8</w:t>
            </w:r>
          </w:p>
        </w:tc>
      </w:tr>
      <w:tr w14:paraId="1612373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5573A815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</w:tcPr>
          <w:p w14:paraId="5E7331DF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86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25D0693A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83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DF7E283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2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</w:tcPr>
          <w:p w14:paraId="74165EF5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87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7C32542A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02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5EC06F88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14:paraId="3F0DD7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56610B1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</w:tcPr>
          <w:p w14:paraId="3D0B47FA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86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2DE46C8E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83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53DD3315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2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</w:tcPr>
          <w:p w14:paraId="4910ABFC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87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38EDBFDA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02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C80A904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14:paraId="42CE1AC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8AD3BFF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3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</w:tcPr>
          <w:p w14:paraId="7C81A14F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86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30B8D63F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83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63714E6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2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</w:tcPr>
          <w:p w14:paraId="06D962AE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87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5A4D45B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02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7B95C55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14:paraId="44C01E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2F6E4472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Всхожесть, %</w:t>
            </w:r>
          </w:p>
        </w:tc>
        <w:tc>
          <w:tcPr>
            <w:tcW w:w="13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</w:tcPr>
          <w:p w14:paraId="2B1A13AB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1286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110ABF81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1283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93B0786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132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</w:tcPr>
          <w:p w14:paraId="5E73CEA6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1387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152E5944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1302" w:type="dxa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2D3647AD">
            <w:pPr>
              <w:spacing w:after="0" w:line="240" w:lineRule="auto"/>
              <w:ind w:right="179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100%</w:t>
            </w:r>
          </w:p>
        </w:tc>
      </w:tr>
    </w:tbl>
    <w:p w14:paraId="5A369B54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07B8B385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2000D67">
      <w:pPr>
        <w:pStyle w:val="16"/>
        <w:spacing w:after="0" w:line="240" w:lineRule="auto"/>
        <w:jc w:val="right"/>
        <w:rPr>
          <w:rFonts w:hint="default" w:ascii="Times New Roman" w:hAnsi="Times New Roman" w:cs="Times New Roman"/>
          <w:b/>
          <w:sz w:val="28"/>
          <w:szCs w:val="28"/>
        </w:rPr>
      </w:pPr>
    </w:p>
    <w:p w14:paraId="271EC3E8">
      <w:pPr>
        <w:pStyle w:val="16"/>
        <w:spacing w:after="0" w:line="240" w:lineRule="auto"/>
        <w:jc w:val="right"/>
        <w:rPr>
          <w:rFonts w:hint="default" w:ascii="Times New Roman" w:hAnsi="Times New Roman" w:cs="Times New Roman"/>
          <w:b/>
          <w:sz w:val="28"/>
          <w:szCs w:val="28"/>
        </w:rPr>
      </w:pPr>
    </w:p>
    <w:p w14:paraId="475D2EC3">
      <w:pPr>
        <w:pStyle w:val="16"/>
        <w:spacing w:after="0" w:line="240" w:lineRule="auto"/>
        <w:jc w:val="right"/>
        <w:rPr>
          <w:rFonts w:hint="default" w:ascii="Times New Roman" w:hAnsi="Times New Roman" w:cs="Times New Roman"/>
          <w:b/>
          <w:sz w:val="28"/>
          <w:szCs w:val="28"/>
        </w:rPr>
      </w:pPr>
    </w:p>
    <w:p w14:paraId="5AA62E60">
      <w:pPr>
        <w:pStyle w:val="16"/>
        <w:spacing w:after="0" w:line="240" w:lineRule="auto"/>
        <w:jc w:val="right"/>
        <w:rPr>
          <w:rFonts w:hint="default" w:ascii="Times New Roman" w:hAnsi="Times New Roman" w:cs="Times New Roman"/>
          <w:b/>
          <w:sz w:val="28"/>
          <w:szCs w:val="28"/>
        </w:rPr>
      </w:pPr>
    </w:p>
    <w:p w14:paraId="423B686C">
      <w:pPr>
        <w:pStyle w:val="16"/>
        <w:spacing w:after="0" w:line="240" w:lineRule="auto"/>
        <w:jc w:val="right"/>
        <w:rPr>
          <w:rFonts w:hint="default" w:ascii="Times New Roman" w:hAnsi="Times New Roman" w:cs="Times New Roman"/>
          <w:b/>
          <w:sz w:val="28"/>
          <w:szCs w:val="28"/>
        </w:rPr>
      </w:pPr>
    </w:p>
    <w:p w14:paraId="55F15588">
      <w:pPr>
        <w:pStyle w:val="16"/>
        <w:spacing w:after="0" w:line="240" w:lineRule="auto"/>
        <w:jc w:val="right"/>
        <w:rPr>
          <w:rFonts w:hint="default" w:ascii="Times New Roman" w:hAnsi="Times New Roman" w:cs="Times New Roman"/>
          <w:b/>
          <w:sz w:val="28"/>
          <w:szCs w:val="28"/>
        </w:rPr>
      </w:pPr>
    </w:p>
    <w:p w14:paraId="6A683554">
      <w:pPr>
        <w:pStyle w:val="16"/>
        <w:spacing w:after="0" w:line="240" w:lineRule="auto"/>
        <w:jc w:val="right"/>
        <w:rPr>
          <w:rFonts w:hint="default" w:ascii="Times New Roman" w:hAnsi="Times New Roman" w:cs="Times New Roman"/>
          <w:b/>
          <w:sz w:val="28"/>
          <w:szCs w:val="28"/>
        </w:rPr>
      </w:pPr>
    </w:p>
    <w:p w14:paraId="486BDC93">
      <w:pPr>
        <w:pStyle w:val="16"/>
        <w:spacing w:after="0" w:line="240" w:lineRule="auto"/>
        <w:jc w:val="right"/>
        <w:rPr>
          <w:rFonts w:hint="default" w:ascii="Times New Roman" w:hAnsi="Times New Roman" w:cs="Times New Roman"/>
          <w:b/>
          <w:sz w:val="28"/>
          <w:szCs w:val="28"/>
        </w:rPr>
      </w:pPr>
    </w:p>
    <w:p w14:paraId="159A6C90">
      <w:pPr>
        <w:pStyle w:val="16"/>
        <w:spacing w:after="0" w:line="240" w:lineRule="auto"/>
        <w:jc w:val="right"/>
        <w:rPr>
          <w:rFonts w:hint="default" w:ascii="Times New Roman" w:hAnsi="Times New Roman" w:cs="Times New Roman"/>
          <w:b/>
          <w:sz w:val="28"/>
          <w:szCs w:val="28"/>
        </w:rPr>
      </w:pPr>
    </w:p>
    <w:p w14:paraId="649FE5CA">
      <w:pPr>
        <w:pStyle w:val="16"/>
        <w:spacing w:after="0" w:line="240" w:lineRule="auto"/>
        <w:jc w:val="right"/>
        <w:rPr>
          <w:rFonts w:hint="default" w:ascii="Times New Roman" w:hAnsi="Times New Roman" w:cs="Times New Roman"/>
          <w:b/>
          <w:sz w:val="28"/>
          <w:szCs w:val="28"/>
        </w:rPr>
      </w:pPr>
    </w:p>
    <w:p w14:paraId="2B765172">
      <w:pPr>
        <w:pStyle w:val="16"/>
        <w:spacing w:after="0" w:line="240" w:lineRule="auto"/>
        <w:jc w:val="right"/>
        <w:rPr>
          <w:rFonts w:hint="default" w:ascii="Times New Roman" w:hAnsi="Times New Roman" w:cs="Times New Roman"/>
          <w:b/>
          <w:sz w:val="28"/>
          <w:szCs w:val="28"/>
        </w:rPr>
      </w:pPr>
    </w:p>
    <w:p w14:paraId="69E229EA">
      <w:pPr>
        <w:pStyle w:val="16"/>
        <w:spacing w:after="0" w:line="240" w:lineRule="auto"/>
        <w:jc w:val="right"/>
        <w:rPr>
          <w:rFonts w:hint="default" w:ascii="Times New Roman" w:hAnsi="Times New Roman" w:cs="Times New Roman"/>
          <w:b/>
          <w:sz w:val="28"/>
          <w:szCs w:val="28"/>
        </w:rPr>
      </w:pPr>
    </w:p>
    <w:p w14:paraId="608E346E">
      <w:pPr>
        <w:pStyle w:val="16"/>
        <w:spacing w:after="0" w:line="240" w:lineRule="auto"/>
        <w:jc w:val="right"/>
        <w:rPr>
          <w:rFonts w:hint="default" w:ascii="Times New Roman" w:hAnsi="Times New Roman" w:cs="Times New Roman"/>
          <w:b/>
          <w:sz w:val="28"/>
          <w:szCs w:val="28"/>
        </w:rPr>
      </w:pPr>
    </w:p>
    <w:p w14:paraId="18ACF531">
      <w:pPr>
        <w:pStyle w:val="16"/>
        <w:spacing w:after="0" w:line="240" w:lineRule="auto"/>
        <w:jc w:val="right"/>
        <w:rPr>
          <w:rFonts w:hint="default" w:ascii="Times New Roman" w:hAnsi="Times New Roman" w:cs="Times New Roman"/>
          <w:b/>
          <w:sz w:val="28"/>
          <w:szCs w:val="28"/>
        </w:rPr>
      </w:pPr>
    </w:p>
    <w:p w14:paraId="4624335A">
      <w:pPr>
        <w:pStyle w:val="16"/>
        <w:spacing w:after="0" w:line="240" w:lineRule="auto"/>
        <w:jc w:val="right"/>
        <w:rPr>
          <w:rFonts w:hint="default" w:ascii="Times New Roman" w:hAnsi="Times New Roman" w:cs="Times New Roman"/>
          <w:b/>
          <w:sz w:val="28"/>
          <w:szCs w:val="28"/>
        </w:rPr>
      </w:pPr>
    </w:p>
    <w:p w14:paraId="0D4759C8">
      <w:pPr>
        <w:pStyle w:val="16"/>
        <w:spacing w:after="0" w:line="240" w:lineRule="auto"/>
        <w:jc w:val="right"/>
        <w:rPr>
          <w:rFonts w:hint="default" w:ascii="Times New Roman" w:hAnsi="Times New Roman" w:cs="Times New Roman"/>
          <w:b/>
          <w:sz w:val="28"/>
          <w:szCs w:val="28"/>
        </w:rPr>
      </w:pPr>
    </w:p>
    <w:p w14:paraId="5C8AAEE1">
      <w:pPr>
        <w:pStyle w:val="16"/>
        <w:spacing w:after="0" w:line="240" w:lineRule="auto"/>
        <w:jc w:val="right"/>
        <w:rPr>
          <w:rFonts w:hint="default" w:ascii="Times New Roman" w:hAnsi="Times New Roman" w:cs="Times New Roman"/>
          <w:b/>
          <w:sz w:val="28"/>
          <w:szCs w:val="28"/>
        </w:rPr>
      </w:pPr>
    </w:p>
    <w:p w14:paraId="2A0E1D41">
      <w:pPr>
        <w:pStyle w:val="16"/>
        <w:spacing w:after="0" w:line="240" w:lineRule="auto"/>
        <w:jc w:val="right"/>
        <w:rPr>
          <w:rFonts w:hint="default" w:ascii="Times New Roman" w:hAnsi="Times New Roman" w:cs="Times New Roman"/>
          <w:b/>
          <w:sz w:val="28"/>
          <w:szCs w:val="28"/>
        </w:rPr>
      </w:pPr>
    </w:p>
    <w:p w14:paraId="7DFE549E">
      <w:pPr>
        <w:pStyle w:val="16"/>
        <w:spacing w:after="0" w:line="240" w:lineRule="auto"/>
        <w:jc w:val="right"/>
        <w:rPr>
          <w:rFonts w:hint="default" w:ascii="Times New Roman" w:hAnsi="Times New Roman" w:cs="Times New Roman"/>
          <w:b/>
          <w:sz w:val="28"/>
          <w:szCs w:val="28"/>
        </w:rPr>
      </w:pPr>
    </w:p>
    <w:p w14:paraId="0B252016">
      <w:pPr>
        <w:pStyle w:val="16"/>
        <w:spacing w:after="0" w:line="240" w:lineRule="auto"/>
        <w:jc w:val="right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Приложение 4</w:t>
      </w:r>
    </w:p>
    <w:p w14:paraId="6DFDB308">
      <w:pPr>
        <w:pStyle w:val="16"/>
        <w:spacing w:after="0" w:line="240" w:lineRule="auto"/>
        <w:ind w:left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Определение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pH</w:t>
      </w:r>
      <w:r>
        <w:rPr>
          <w:rFonts w:hint="default" w:ascii="Times New Roman" w:hAnsi="Times New Roman" w:cs="Times New Roman"/>
          <w:sz w:val="28"/>
          <w:szCs w:val="28"/>
        </w:rPr>
        <w:t xml:space="preserve"> воды, очищенной с помощью локального очистного сооружения.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  </w:t>
      </w:r>
    </w:p>
    <w:p w14:paraId="2A5B9AD6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6C65DA68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drawing>
          <wp:inline distT="0" distB="0" distL="0" distR="0">
            <wp:extent cx="4133215" cy="3103245"/>
            <wp:effectExtent l="0" t="0" r="63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3215" cy="3103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4C278A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C45A65A">
      <w:pPr>
        <w:spacing w:after="0"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5FA33FF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429BF795">
      <w:pPr>
        <w:spacing w:after="0" w:line="24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59C4CD9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1B4EC1AC">
      <w:pPr>
        <w:spacing w:after="0" w:line="240" w:lineRule="auto"/>
        <w:jc w:val="right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Приложение 5</w:t>
      </w:r>
    </w:p>
    <w:p w14:paraId="7474B50F">
      <w:pPr>
        <w:spacing w:after="0" w:line="240" w:lineRule="auto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  <w:r>
        <w:rPr>
          <w:rFonts w:hint="default" w:ascii="Times New Roman" w:hAnsi="Times New Roman" w:cs="Times New Roman"/>
          <w:bCs/>
          <w:sz w:val="28"/>
          <w:szCs w:val="28"/>
        </w:rPr>
        <w:t xml:space="preserve">Определение количества взвешенных частиц. </w:t>
      </w:r>
    </w:p>
    <w:p w14:paraId="0C48EB16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0F661E7D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7AE3C88D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1617980</wp:posOffset>
            </wp:positionH>
            <wp:positionV relativeFrom="paragraph">
              <wp:posOffset>10160</wp:posOffset>
            </wp:positionV>
            <wp:extent cx="2611755" cy="347154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11527" cy="34712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 </w:t>
      </w:r>
    </w:p>
    <w:p w14:paraId="7682E850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1D912D5C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                      </w:t>
      </w:r>
    </w:p>
    <w:p w14:paraId="5D1A0570">
      <w:pPr>
        <w:spacing w:after="0" w:line="24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 </w:t>
      </w:r>
    </w:p>
    <w:p w14:paraId="603D5FAE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26C904E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   </w:t>
      </w:r>
    </w:p>
    <w:p w14:paraId="4C389689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    </w:t>
      </w:r>
    </w:p>
    <w:p w14:paraId="114F7D25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   </w:t>
      </w:r>
    </w:p>
    <w:sectPr>
      <w:footerReference r:id="rId5" w:type="default"/>
      <w:pgSz w:w="11906" w:h="16838"/>
      <w:pgMar w:top="1134" w:right="1133" w:bottom="1134" w:left="1701" w:header="708" w:footer="708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120414"/>
      <w:docPartObj>
        <w:docPartGallery w:val="AutoText"/>
      </w:docPartObj>
    </w:sdtPr>
    <w:sdtContent>
      <w:p w14:paraId="56EB23F8">
        <w:pPr>
          <w:pStyle w:val="13"/>
          <w:jc w:val="center"/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 PAGE   \* MERGEFORMAT 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>15</w:t>
        </w:r>
        <w:r>
          <w:rPr>
            <w:sz w:val="24"/>
            <w:szCs w:val="24"/>
          </w:rPr>
          <w:fldChar w:fldCharType="end"/>
        </w:r>
      </w:p>
    </w:sdtContent>
  </w:sdt>
  <w:p w14:paraId="0E1D1187">
    <w:pPr>
      <w:pStyle w:val="1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477DCA"/>
    <w:multiLevelType w:val="multilevel"/>
    <w:tmpl w:val="15477DCA"/>
    <w:lvl w:ilvl="0" w:tentative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C47C4"/>
    <w:multiLevelType w:val="multilevel"/>
    <w:tmpl w:val="1DDC47C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384BBE"/>
    <w:multiLevelType w:val="multilevel"/>
    <w:tmpl w:val="48384BBE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 w:tentative="0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 w:tentative="0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 w:tentative="0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 w:tentative="0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 w:tentative="0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68B1236E"/>
    <w:multiLevelType w:val="multilevel"/>
    <w:tmpl w:val="68B1236E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documentProtection w:enforcement="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FF7"/>
    <w:rsid w:val="00004BEC"/>
    <w:rsid w:val="000102CE"/>
    <w:rsid w:val="00016E47"/>
    <w:rsid w:val="0001754A"/>
    <w:rsid w:val="000243F8"/>
    <w:rsid w:val="00032DFF"/>
    <w:rsid w:val="000343BF"/>
    <w:rsid w:val="000362C3"/>
    <w:rsid w:val="00036D96"/>
    <w:rsid w:val="00036F66"/>
    <w:rsid w:val="000455AD"/>
    <w:rsid w:val="00047EE9"/>
    <w:rsid w:val="000507DD"/>
    <w:rsid w:val="000508F4"/>
    <w:rsid w:val="00054E3C"/>
    <w:rsid w:val="000555B6"/>
    <w:rsid w:val="0006331F"/>
    <w:rsid w:val="0007386B"/>
    <w:rsid w:val="0007605C"/>
    <w:rsid w:val="00090563"/>
    <w:rsid w:val="00091B45"/>
    <w:rsid w:val="000A55A7"/>
    <w:rsid w:val="000A5632"/>
    <w:rsid w:val="000B1029"/>
    <w:rsid w:val="000B1806"/>
    <w:rsid w:val="000C1EC5"/>
    <w:rsid w:val="000C293C"/>
    <w:rsid w:val="000C551C"/>
    <w:rsid w:val="000C6D11"/>
    <w:rsid w:val="000D0217"/>
    <w:rsid w:val="000D2881"/>
    <w:rsid w:val="000E29E9"/>
    <w:rsid w:val="000E39C4"/>
    <w:rsid w:val="000F7827"/>
    <w:rsid w:val="0010664A"/>
    <w:rsid w:val="001321C1"/>
    <w:rsid w:val="00144F4B"/>
    <w:rsid w:val="00153ADE"/>
    <w:rsid w:val="001622ED"/>
    <w:rsid w:val="001656C6"/>
    <w:rsid w:val="0017021B"/>
    <w:rsid w:val="00171DFE"/>
    <w:rsid w:val="0018051B"/>
    <w:rsid w:val="001840F2"/>
    <w:rsid w:val="00197E35"/>
    <w:rsid w:val="001A0C44"/>
    <w:rsid w:val="001A487A"/>
    <w:rsid w:val="001A50EA"/>
    <w:rsid w:val="001B60A5"/>
    <w:rsid w:val="001C69AE"/>
    <w:rsid w:val="001D0183"/>
    <w:rsid w:val="001E2D9F"/>
    <w:rsid w:val="001E4EA3"/>
    <w:rsid w:val="001E5DC0"/>
    <w:rsid w:val="001E7A4C"/>
    <w:rsid w:val="001F2CE9"/>
    <w:rsid w:val="002035E7"/>
    <w:rsid w:val="00210D8E"/>
    <w:rsid w:val="0022032C"/>
    <w:rsid w:val="00220503"/>
    <w:rsid w:val="0022246F"/>
    <w:rsid w:val="00230F90"/>
    <w:rsid w:val="00231444"/>
    <w:rsid w:val="002324B7"/>
    <w:rsid w:val="00234430"/>
    <w:rsid w:val="002371B8"/>
    <w:rsid w:val="002418A0"/>
    <w:rsid w:val="00247D18"/>
    <w:rsid w:val="00251611"/>
    <w:rsid w:val="00251ADE"/>
    <w:rsid w:val="0025404F"/>
    <w:rsid w:val="002554EC"/>
    <w:rsid w:val="00260041"/>
    <w:rsid w:val="002601D2"/>
    <w:rsid w:val="002657BB"/>
    <w:rsid w:val="002715DA"/>
    <w:rsid w:val="00272FF3"/>
    <w:rsid w:val="0027356D"/>
    <w:rsid w:val="00277C57"/>
    <w:rsid w:val="00281E31"/>
    <w:rsid w:val="002827CC"/>
    <w:rsid w:val="002A0626"/>
    <w:rsid w:val="002A0AB5"/>
    <w:rsid w:val="002B17DE"/>
    <w:rsid w:val="002B3FA9"/>
    <w:rsid w:val="002B436C"/>
    <w:rsid w:val="002B45A7"/>
    <w:rsid w:val="002C109C"/>
    <w:rsid w:val="002C3B72"/>
    <w:rsid w:val="002C5F3C"/>
    <w:rsid w:val="002D050F"/>
    <w:rsid w:val="002D256B"/>
    <w:rsid w:val="002D49DC"/>
    <w:rsid w:val="002E0D95"/>
    <w:rsid w:val="002E6E1C"/>
    <w:rsid w:val="002F5BFD"/>
    <w:rsid w:val="00302798"/>
    <w:rsid w:val="00317047"/>
    <w:rsid w:val="003240E0"/>
    <w:rsid w:val="00326115"/>
    <w:rsid w:val="00327C95"/>
    <w:rsid w:val="0033136B"/>
    <w:rsid w:val="00331D71"/>
    <w:rsid w:val="003542B8"/>
    <w:rsid w:val="00356783"/>
    <w:rsid w:val="00367B4D"/>
    <w:rsid w:val="0037737E"/>
    <w:rsid w:val="00384A1D"/>
    <w:rsid w:val="00390647"/>
    <w:rsid w:val="003922B4"/>
    <w:rsid w:val="003967C8"/>
    <w:rsid w:val="003A2830"/>
    <w:rsid w:val="003A5ABA"/>
    <w:rsid w:val="003B4FA4"/>
    <w:rsid w:val="003B6AE5"/>
    <w:rsid w:val="003C50C9"/>
    <w:rsid w:val="003D17AE"/>
    <w:rsid w:val="003D6487"/>
    <w:rsid w:val="003D72F3"/>
    <w:rsid w:val="003E3CE5"/>
    <w:rsid w:val="003F03D4"/>
    <w:rsid w:val="003F470B"/>
    <w:rsid w:val="003F5D7A"/>
    <w:rsid w:val="0040114D"/>
    <w:rsid w:val="00403433"/>
    <w:rsid w:val="004040A7"/>
    <w:rsid w:val="004116E1"/>
    <w:rsid w:val="0043098F"/>
    <w:rsid w:val="004311C5"/>
    <w:rsid w:val="00437804"/>
    <w:rsid w:val="00452877"/>
    <w:rsid w:val="00454042"/>
    <w:rsid w:val="00456CC3"/>
    <w:rsid w:val="00460F73"/>
    <w:rsid w:val="0046205C"/>
    <w:rsid w:val="00464CE6"/>
    <w:rsid w:val="00465208"/>
    <w:rsid w:val="004662F2"/>
    <w:rsid w:val="004733B4"/>
    <w:rsid w:val="0049469B"/>
    <w:rsid w:val="004B3E5A"/>
    <w:rsid w:val="004B6D7B"/>
    <w:rsid w:val="004D4D15"/>
    <w:rsid w:val="004D6C5A"/>
    <w:rsid w:val="004E412D"/>
    <w:rsid w:val="004F1E46"/>
    <w:rsid w:val="004F32AC"/>
    <w:rsid w:val="004F3BF5"/>
    <w:rsid w:val="004F65CF"/>
    <w:rsid w:val="005043D4"/>
    <w:rsid w:val="0050597B"/>
    <w:rsid w:val="005068E9"/>
    <w:rsid w:val="00517B55"/>
    <w:rsid w:val="00524AB2"/>
    <w:rsid w:val="00532B66"/>
    <w:rsid w:val="005362C9"/>
    <w:rsid w:val="0053678D"/>
    <w:rsid w:val="005402B3"/>
    <w:rsid w:val="00543076"/>
    <w:rsid w:val="00543E31"/>
    <w:rsid w:val="005465C3"/>
    <w:rsid w:val="00556788"/>
    <w:rsid w:val="00573E55"/>
    <w:rsid w:val="0059102E"/>
    <w:rsid w:val="005A74E5"/>
    <w:rsid w:val="005A7D27"/>
    <w:rsid w:val="005B17F7"/>
    <w:rsid w:val="005C07D5"/>
    <w:rsid w:val="005C2484"/>
    <w:rsid w:val="005D2366"/>
    <w:rsid w:val="005D34B0"/>
    <w:rsid w:val="005D7164"/>
    <w:rsid w:val="005E3196"/>
    <w:rsid w:val="005E5A62"/>
    <w:rsid w:val="005F51F7"/>
    <w:rsid w:val="005F759D"/>
    <w:rsid w:val="006066C3"/>
    <w:rsid w:val="00620DBD"/>
    <w:rsid w:val="00630A13"/>
    <w:rsid w:val="006410C6"/>
    <w:rsid w:val="006604CB"/>
    <w:rsid w:val="00661605"/>
    <w:rsid w:val="00664994"/>
    <w:rsid w:val="00670B2A"/>
    <w:rsid w:val="006911EC"/>
    <w:rsid w:val="006974F6"/>
    <w:rsid w:val="006A5455"/>
    <w:rsid w:val="006B12B1"/>
    <w:rsid w:val="006E6441"/>
    <w:rsid w:val="006E7EFA"/>
    <w:rsid w:val="006F0A06"/>
    <w:rsid w:val="007052BC"/>
    <w:rsid w:val="007074A5"/>
    <w:rsid w:val="00715AD4"/>
    <w:rsid w:val="007161E3"/>
    <w:rsid w:val="007167FA"/>
    <w:rsid w:val="00720464"/>
    <w:rsid w:val="00742996"/>
    <w:rsid w:val="00747E55"/>
    <w:rsid w:val="00753F34"/>
    <w:rsid w:val="00754409"/>
    <w:rsid w:val="007730B0"/>
    <w:rsid w:val="00774BFF"/>
    <w:rsid w:val="00775FA6"/>
    <w:rsid w:val="007A7F26"/>
    <w:rsid w:val="007B29D7"/>
    <w:rsid w:val="007B66C3"/>
    <w:rsid w:val="007C4471"/>
    <w:rsid w:val="007E43F2"/>
    <w:rsid w:val="007E7BAF"/>
    <w:rsid w:val="008019A1"/>
    <w:rsid w:val="00801D8C"/>
    <w:rsid w:val="0080356B"/>
    <w:rsid w:val="0080559E"/>
    <w:rsid w:val="00806577"/>
    <w:rsid w:val="00831828"/>
    <w:rsid w:val="00832EC1"/>
    <w:rsid w:val="00833AA5"/>
    <w:rsid w:val="00833D3B"/>
    <w:rsid w:val="00835EE3"/>
    <w:rsid w:val="00840E3D"/>
    <w:rsid w:val="00845F33"/>
    <w:rsid w:val="0084697E"/>
    <w:rsid w:val="00854601"/>
    <w:rsid w:val="008550EE"/>
    <w:rsid w:val="0086180A"/>
    <w:rsid w:val="008708A2"/>
    <w:rsid w:val="0087423C"/>
    <w:rsid w:val="00890871"/>
    <w:rsid w:val="00892548"/>
    <w:rsid w:val="008A5D9F"/>
    <w:rsid w:val="008B76CA"/>
    <w:rsid w:val="008C1179"/>
    <w:rsid w:val="008C4E35"/>
    <w:rsid w:val="008E05C5"/>
    <w:rsid w:val="008E083B"/>
    <w:rsid w:val="008E72F5"/>
    <w:rsid w:val="00903F05"/>
    <w:rsid w:val="00907753"/>
    <w:rsid w:val="009117C4"/>
    <w:rsid w:val="009132FA"/>
    <w:rsid w:val="00915C81"/>
    <w:rsid w:val="009230CE"/>
    <w:rsid w:val="00933E7E"/>
    <w:rsid w:val="009366DE"/>
    <w:rsid w:val="00953A16"/>
    <w:rsid w:val="00957DF2"/>
    <w:rsid w:val="00962EC2"/>
    <w:rsid w:val="009659F8"/>
    <w:rsid w:val="00973E1A"/>
    <w:rsid w:val="00976488"/>
    <w:rsid w:val="00981CB3"/>
    <w:rsid w:val="00981E3B"/>
    <w:rsid w:val="00986411"/>
    <w:rsid w:val="00993103"/>
    <w:rsid w:val="00996C71"/>
    <w:rsid w:val="009B3BD4"/>
    <w:rsid w:val="009B5B10"/>
    <w:rsid w:val="009C71C7"/>
    <w:rsid w:val="009D341E"/>
    <w:rsid w:val="009D34BA"/>
    <w:rsid w:val="009D58C2"/>
    <w:rsid w:val="009E2812"/>
    <w:rsid w:val="009E5C5E"/>
    <w:rsid w:val="009F7779"/>
    <w:rsid w:val="00A025C4"/>
    <w:rsid w:val="00A02A77"/>
    <w:rsid w:val="00A070AD"/>
    <w:rsid w:val="00A07723"/>
    <w:rsid w:val="00A103C0"/>
    <w:rsid w:val="00A146C7"/>
    <w:rsid w:val="00A20223"/>
    <w:rsid w:val="00A27CC2"/>
    <w:rsid w:val="00A316B7"/>
    <w:rsid w:val="00A4137D"/>
    <w:rsid w:val="00A47744"/>
    <w:rsid w:val="00A6029E"/>
    <w:rsid w:val="00A64314"/>
    <w:rsid w:val="00A754C5"/>
    <w:rsid w:val="00A81012"/>
    <w:rsid w:val="00A92424"/>
    <w:rsid w:val="00AA51D6"/>
    <w:rsid w:val="00AB35E1"/>
    <w:rsid w:val="00AC3DCB"/>
    <w:rsid w:val="00AC494A"/>
    <w:rsid w:val="00AC6A4E"/>
    <w:rsid w:val="00AD3406"/>
    <w:rsid w:val="00AE00BD"/>
    <w:rsid w:val="00AE46CD"/>
    <w:rsid w:val="00AE57B1"/>
    <w:rsid w:val="00AE6A0A"/>
    <w:rsid w:val="00AF02E0"/>
    <w:rsid w:val="00AF385E"/>
    <w:rsid w:val="00AF70AA"/>
    <w:rsid w:val="00B01750"/>
    <w:rsid w:val="00B03645"/>
    <w:rsid w:val="00B0680C"/>
    <w:rsid w:val="00B10E83"/>
    <w:rsid w:val="00B15364"/>
    <w:rsid w:val="00B20DDE"/>
    <w:rsid w:val="00B2740C"/>
    <w:rsid w:val="00B31FFC"/>
    <w:rsid w:val="00B340C7"/>
    <w:rsid w:val="00B345B7"/>
    <w:rsid w:val="00B5640D"/>
    <w:rsid w:val="00B56B38"/>
    <w:rsid w:val="00B57EA7"/>
    <w:rsid w:val="00B6226F"/>
    <w:rsid w:val="00B67E5B"/>
    <w:rsid w:val="00B73E3E"/>
    <w:rsid w:val="00B82309"/>
    <w:rsid w:val="00B867ED"/>
    <w:rsid w:val="00B9242F"/>
    <w:rsid w:val="00B92D29"/>
    <w:rsid w:val="00BA0C36"/>
    <w:rsid w:val="00BB155D"/>
    <w:rsid w:val="00BB58FC"/>
    <w:rsid w:val="00BB7F3C"/>
    <w:rsid w:val="00BC7603"/>
    <w:rsid w:val="00BD1BF9"/>
    <w:rsid w:val="00BD46DD"/>
    <w:rsid w:val="00BE063C"/>
    <w:rsid w:val="00BF4CA9"/>
    <w:rsid w:val="00BF5B55"/>
    <w:rsid w:val="00BF7DD8"/>
    <w:rsid w:val="00C031A5"/>
    <w:rsid w:val="00C0384D"/>
    <w:rsid w:val="00C132A8"/>
    <w:rsid w:val="00C138EA"/>
    <w:rsid w:val="00C26ACF"/>
    <w:rsid w:val="00C31C4A"/>
    <w:rsid w:val="00C3456C"/>
    <w:rsid w:val="00C43375"/>
    <w:rsid w:val="00C44857"/>
    <w:rsid w:val="00C4733B"/>
    <w:rsid w:val="00C50898"/>
    <w:rsid w:val="00C5558D"/>
    <w:rsid w:val="00C57BF8"/>
    <w:rsid w:val="00C65C20"/>
    <w:rsid w:val="00C667E5"/>
    <w:rsid w:val="00C67384"/>
    <w:rsid w:val="00C67F07"/>
    <w:rsid w:val="00C855B8"/>
    <w:rsid w:val="00C869F6"/>
    <w:rsid w:val="00C96FF7"/>
    <w:rsid w:val="00CA2E69"/>
    <w:rsid w:val="00CA7166"/>
    <w:rsid w:val="00CB0B87"/>
    <w:rsid w:val="00CB7186"/>
    <w:rsid w:val="00CD16F6"/>
    <w:rsid w:val="00CD7A6A"/>
    <w:rsid w:val="00CE643D"/>
    <w:rsid w:val="00D0078E"/>
    <w:rsid w:val="00D07723"/>
    <w:rsid w:val="00D23C25"/>
    <w:rsid w:val="00D241F2"/>
    <w:rsid w:val="00D34033"/>
    <w:rsid w:val="00D34C8A"/>
    <w:rsid w:val="00D461ED"/>
    <w:rsid w:val="00D46AA9"/>
    <w:rsid w:val="00D535CF"/>
    <w:rsid w:val="00D53A08"/>
    <w:rsid w:val="00D5588B"/>
    <w:rsid w:val="00D67765"/>
    <w:rsid w:val="00D76923"/>
    <w:rsid w:val="00D94E9D"/>
    <w:rsid w:val="00DB166E"/>
    <w:rsid w:val="00DB1AD9"/>
    <w:rsid w:val="00DC06AD"/>
    <w:rsid w:val="00DC4616"/>
    <w:rsid w:val="00DC6AAD"/>
    <w:rsid w:val="00DD2460"/>
    <w:rsid w:val="00DD4246"/>
    <w:rsid w:val="00DD45BB"/>
    <w:rsid w:val="00DD552A"/>
    <w:rsid w:val="00DE7D61"/>
    <w:rsid w:val="00DF3E6E"/>
    <w:rsid w:val="00E023ED"/>
    <w:rsid w:val="00E04549"/>
    <w:rsid w:val="00E07F96"/>
    <w:rsid w:val="00E11966"/>
    <w:rsid w:val="00E173B7"/>
    <w:rsid w:val="00E221D0"/>
    <w:rsid w:val="00E25483"/>
    <w:rsid w:val="00E34FB3"/>
    <w:rsid w:val="00E41381"/>
    <w:rsid w:val="00E45EA3"/>
    <w:rsid w:val="00E63CFF"/>
    <w:rsid w:val="00E64114"/>
    <w:rsid w:val="00E644FE"/>
    <w:rsid w:val="00E662AA"/>
    <w:rsid w:val="00E74D9C"/>
    <w:rsid w:val="00E86249"/>
    <w:rsid w:val="00E8658E"/>
    <w:rsid w:val="00E875B6"/>
    <w:rsid w:val="00E87720"/>
    <w:rsid w:val="00E9001D"/>
    <w:rsid w:val="00E91591"/>
    <w:rsid w:val="00E939E4"/>
    <w:rsid w:val="00EA1085"/>
    <w:rsid w:val="00EA34B7"/>
    <w:rsid w:val="00EB1695"/>
    <w:rsid w:val="00EC5619"/>
    <w:rsid w:val="00ED5074"/>
    <w:rsid w:val="00ED5F08"/>
    <w:rsid w:val="00EE12D9"/>
    <w:rsid w:val="00EE6C8C"/>
    <w:rsid w:val="00F11E8D"/>
    <w:rsid w:val="00F15425"/>
    <w:rsid w:val="00F202F3"/>
    <w:rsid w:val="00F32525"/>
    <w:rsid w:val="00F327B0"/>
    <w:rsid w:val="00F35A59"/>
    <w:rsid w:val="00F35D8A"/>
    <w:rsid w:val="00F507AD"/>
    <w:rsid w:val="00F529CB"/>
    <w:rsid w:val="00F55531"/>
    <w:rsid w:val="00F70888"/>
    <w:rsid w:val="00F72D27"/>
    <w:rsid w:val="00F73122"/>
    <w:rsid w:val="00F7607E"/>
    <w:rsid w:val="00F82C51"/>
    <w:rsid w:val="00F93B1F"/>
    <w:rsid w:val="00FA3912"/>
    <w:rsid w:val="00FA7BE3"/>
    <w:rsid w:val="00FB12B7"/>
    <w:rsid w:val="00FB3535"/>
    <w:rsid w:val="00FB35C2"/>
    <w:rsid w:val="00FC6748"/>
    <w:rsid w:val="00FD1572"/>
    <w:rsid w:val="00FF4A4A"/>
    <w:rsid w:val="0C5267C3"/>
    <w:rsid w:val="22F4301A"/>
    <w:rsid w:val="45235FF4"/>
    <w:rsid w:val="76D90E8A"/>
    <w:rsid w:val="7FB8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61" w:semiHidden="0" w:name="Light List Accent 3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link w:val="30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3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20"/>
    <w:rPr>
      <w:i/>
      <w:iCs/>
    </w:rPr>
  </w:style>
  <w:style w:type="character" w:styleId="7">
    <w:name w:val="Hyperlink"/>
    <w:basedOn w:val="4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8">
    <w:name w:val="Strong"/>
    <w:basedOn w:val="4"/>
    <w:qFormat/>
    <w:uiPriority w:val="22"/>
    <w:rPr>
      <w:b/>
      <w:bCs/>
    </w:rPr>
  </w:style>
  <w:style w:type="paragraph" w:styleId="9">
    <w:name w:val="Balloon Text"/>
    <w:basedOn w:val="1"/>
    <w:link w:val="18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0">
    <w:name w:val="header"/>
    <w:basedOn w:val="1"/>
    <w:link w:val="19"/>
    <w:semiHidden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1">
    <w:name w:val="toc 1"/>
    <w:basedOn w:val="1"/>
    <w:next w:val="1"/>
    <w:autoRedefine/>
    <w:unhideWhenUsed/>
    <w:qFormat/>
    <w:uiPriority w:val="39"/>
    <w:pPr>
      <w:spacing w:after="100"/>
    </w:pPr>
  </w:style>
  <w:style w:type="paragraph" w:styleId="12">
    <w:name w:val="toc 2"/>
    <w:basedOn w:val="1"/>
    <w:next w:val="1"/>
    <w:autoRedefine/>
    <w:unhideWhenUsed/>
    <w:qFormat/>
    <w:uiPriority w:val="39"/>
    <w:pPr>
      <w:spacing w:after="100"/>
      <w:ind w:left="220"/>
    </w:pPr>
  </w:style>
  <w:style w:type="paragraph" w:styleId="13">
    <w:name w:val="footer"/>
    <w:basedOn w:val="1"/>
    <w:link w:val="2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4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15">
    <w:name w:val="Table Grid"/>
    <w:basedOn w:val="5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6">
    <w:name w:val="List Paragraph"/>
    <w:basedOn w:val="1"/>
    <w:qFormat/>
    <w:uiPriority w:val="34"/>
    <w:pPr>
      <w:ind w:left="720"/>
      <w:contextualSpacing/>
    </w:pPr>
  </w:style>
  <w:style w:type="character" w:customStyle="1" w:styleId="17">
    <w:name w:val="apple-converted-space"/>
    <w:basedOn w:val="4"/>
    <w:uiPriority w:val="0"/>
  </w:style>
  <w:style w:type="character" w:customStyle="1" w:styleId="18">
    <w:name w:val="Текст выноски Знак"/>
    <w:basedOn w:val="4"/>
    <w:link w:val="9"/>
    <w:semiHidden/>
    <w:uiPriority w:val="99"/>
    <w:rPr>
      <w:rFonts w:ascii="Tahoma" w:hAnsi="Tahoma" w:cs="Tahoma"/>
      <w:sz w:val="16"/>
      <w:szCs w:val="16"/>
    </w:rPr>
  </w:style>
  <w:style w:type="character" w:customStyle="1" w:styleId="19">
    <w:name w:val="Верхний колонтитул Знак"/>
    <w:basedOn w:val="4"/>
    <w:link w:val="10"/>
    <w:semiHidden/>
    <w:qFormat/>
    <w:uiPriority w:val="99"/>
  </w:style>
  <w:style w:type="character" w:customStyle="1" w:styleId="20">
    <w:name w:val="Нижний колонтитул Знак"/>
    <w:basedOn w:val="4"/>
    <w:link w:val="13"/>
    <w:uiPriority w:val="99"/>
  </w:style>
  <w:style w:type="character" w:customStyle="1" w:styleId="21">
    <w:name w:val="Основной текст (2)"/>
    <w:basedOn w:val="4"/>
    <w:link w:val="22"/>
    <w:qFormat/>
    <w:uiPriority w:val="99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1"/>
    <w:basedOn w:val="1"/>
    <w:link w:val="21"/>
    <w:qFormat/>
    <w:uiPriority w:val="99"/>
    <w:pPr>
      <w:shd w:val="clear" w:color="auto" w:fill="FFFFFF"/>
      <w:spacing w:after="240" w:line="322" w:lineRule="exact"/>
      <w:jc w:val="center"/>
    </w:pPr>
    <w:rPr>
      <w:rFonts w:ascii="Times New Roman" w:hAnsi="Times New Roman"/>
      <w:sz w:val="28"/>
      <w:szCs w:val="28"/>
    </w:rPr>
  </w:style>
  <w:style w:type="character" w:customStyle="1" w:styleId="23">
    <w:name w:val="Заголовок №1"/>
    <w:basedOn w:val="4"/>
    <w:link w:val="24"/>
    <w:qFormat/>
    <w:uiPriority w:val="99"/>
    <w:rPr>
      <w:rFonts w:ascii="Times New Roman" w:hAnsi="Times New Roman"/>
      <w:b/>
      <w:bCs/>
      <w:sz w:val="32"/>
      <w:szCs w:val="32"/>
      <w:shd w:val="clear" w:color="auto" w:fill="FFFFFF"/>
    </w:rPr>
  </w:style>
  <w:style w:type="paragraph" w:customStyle="1" w:styleId="24">
    <w:name w:val="Заголовок №11"/>
    <w:basedOn w:val="1"/>
    <w:link w:val="23"/>
    <w:qFormat/>
    <w:uiPriority w:val="99"/>
    <w:pPr>
      <w:shd w:val="clear" w:color="auto" w:fill="FFFFFF"/>
      <w:spacing w:before="3180" w:after="0" w:line="552" w:lineRule="exact"/>
      <w:outlineLvl w:val="0"/>
    </w:pPr>
    <w:rPr>
      <w:rFonts w:ascii="Times New Roman" w:hAnsi="Times New Roman"/>
      <w:b/>
      <w:bCs/>
      <w:sz w:val="32"/>
      <w:szCs w:val="32"/>
    </w:rPr>
  </w:style>
  <w:style w:type="character" w:customStyle="1" w:styleId="25">
    <w:name w:val="Заголовок №1 (2)"/>
    <w:basedOn w:val="4"/>
    <w:link w:val="26"/>
    <w:qFormat/>
    <w:uiPriority w:val="99"/>
    <w:rPr>
      <w:rFonts w:ascii="Times New Roman" w:hAnsi="Times New Roman"/>
      <w:b/>
      <w:bCs/>
      <w:sz w:val="32"/>
      <w:szCs w:val="32"/>
      <w:shd w:val="clear" w:color="auto" w:fill="FFFFFF"/>
    </w:rPr>
  </w:style>
  <w:style w:type="paragraph" w:customStyle="1" w:styleId="26">
    <w:name w:val="Заголовок №1 (2)1"/>
    <w:basedOn w:val="1"/>
    <w:link w:val="25"/>
    <w:qFormat/>
    <w:uiPriority w:val="99"/>
    <w:pPr>
      <w:shd w:val="clear" w:color="auto" w:fill="FFFFFF"/>
      <w:spacing w:after="240" w:line="552" w:lineRule="exact"/>
      <w:jc w:val="center"/>
      <w:outlineLvl w:val="0"/>
    </w:pPr>
    <w:rPr>
      <w:rFonts w:ascii="Times New Roman" w:hAnsi="Times New Roman"/>
      <w:b/>
      <w:bCs/>
      <w:sz w:val="32"/>
      <w:szCs w:val="32"/>
    </w:rPr>
  </w:style>
  <w:style w:type="character" w:customStyle="1" w:styleId="27">
    <w:name w:val="Основной текст (5)"/>
    <w:basedOn w:val="4"/>
    <w:link w:val="28"/>
    <w:qFormat/>
    <w:uiPriority w:val="99"/>
    <w:rPr>
      <w:rFonts w:ascii="Times New Roman" w:hAnsi="Times New Roman"/>
      <w:i/>
      <w:iCs/>
      <w:sz w:val="28"/>
      <w:szCs w:val="28"/>
      <w:shd w:val="clear" w:color="auto" w:fill="FFFFFF"/>
    </w:rPr>
  </w:style>
  <w:style w:type="paragraph" w:customStyle="1" w:styleId="28">
    <w:name w:val="Основной текст (5)1"/>
    <w:basedOn w:val="1"/>
    <w:link w:val="27"/>
    <w:qFormat/>
    <w:uiPriority w:val="99"/>
    <w:pPr>
      <w:shd w:val="clear" w:color="auto" w:fill="FFFFFF"/>
      <w:spacing w:before="240" w:after="4620" w:line="240" w:lineRule="atLeast"/>
      <w:jc w:val="center"/>
    </w:pPr>
    <w:rPr>
      <w:rFonts w:ascii="Times New Roman" w:hAnsi="Times New Roman"/>
      <w:i/>
      <w:iCs/>
      <w:sz w:val="28"/>
      <w:szCs w:val="28"/>
    </w:rPr>
  </w:style>
  <w:style w:type="character" w:customStyle="1" w:styleId="29">
    <w:name w:val="citation"/>
    <w:basedOn w:val="4"/>
    <w:qFormat/>
    <w:uiPriority w:val="0"/>
  </w:style>
  <w:style w:type="character" w:customStyle="1" w:styleId="30">
    <w:name w:val="Заголовок 1 Знак"/>
    <w:basedOn w:val="4"/>
    <w:link w:val="2"/>
    <w:qFormat/>
    <w:uiPriority w:val="9"/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table" w:styleId="31">
    <w:name w:val="Light List Accent 3"/>
    <w:basedOn w:val="5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character" w:customStyle="1" w:styleId="32">
    <w:name w:val="Заголовок 2 Знак"/>
    <w:basedOn w:val="4"/>
    <w:link w:val="3"/>
    <w:qFormat/>
    <w:uiPriority w:val="9"/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paragraph" w:customStyle="1" w:styleId="33">
    <w:name w:val="TOC Heading"/>
    <w:basedOn w:val="2"/>
    <w:next w:val="1"/>
    <w:unhideWhenUsed/>
    <w:qFormat/>
    <w:uiPriority w:val="39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34179-C472-4ABA-86AF-297E3C4D473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15</Pages>
  <Words>2708</Words>
  <Characters>15440</Characters>
  <Lines>128</Lines>
  <Paragraphs>36</Paragraphs>
  <TotalTime>95</TotalTime>
  <ScaleCrop>false</ScaleCrop>
  <LinksUpToDate>false</LinksUpToDate>
  <CharactersWithSpaces>18112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2026-01-15T10:08:00Z</dcterms:created>
  <dc:creator>Админ</dc:creator>
  <cp:lastModifiedBy>user</cp:lastModifiedBy>
  <cp:lastPrinted>2026-01-28T05:18:00Z</cp:lastPrinted>
  <dcterms:modified xsi:type="dcterms:W3CDTF">2026-02-08T12:15:36Z</dcterms:modified>
  <cp:revision>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D4A914FE9D454BC2AE19E14AC7C65F0C_13</vt:lpwstr>
  </property>
</Properties>
</file>